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AC6AD" w14:textId="6B57821B" w:rsidR="00741C64" w:rsidRPr="003668BE" w:rsidRDefault="00741C64" w:rsidP="00741C64">
      <w:pPr>
        <w:pStyle w:val="Ttulo"/>
        <w:pBdr>
          <w:bottom w:val="single" w:sz="6" w:space="1" w:color="auto"/>
        </w:pBdr>
        <w:rPr>
          <w:color w:val="2F5496" w:themeColor="accent1" w:themeShade="BF"/>
          <w:sz w:val="32"/>
          <w:szCs w:val="32"/>
        </w:rPr>
      </w:pPr>
      <w:r w:rsidRPr="003668BE">
        <w:rPr>
          <w:b/>
          <w:bCs/>
          <w:color w:val="2F5496" w:themeColor="accent1" w:themeShade="BF"/>
        </w:rPr>
        <w:t>Altos Cargos</w:t>
      </w:r>
      <w:r w:rsidRPr="003668BE">
        <w:rPr>
          <w:color w:val="2F5496" w:themeColor="accent1" w:themeShade="BF"/>
        </w:rPr>
        <w:t xml:space="preserve"> </w:t>
      </w:r>
      <w:r w:rsidRPr="003668BE">
        <w:rPr>
          <w:color w:val="2F5496" w:themeColor="accent1" w:themeShade="BF"/>
          <w:sz w:val="32"/>
          <w:szCs w:val="32"/>
        </w:rPr>
        <w:t>(Ejercicio 20</w:t>
      </w:r>
      <w:r w:rsidR="00F676FE">
        <w:rPr>
          <w:color w:val="2F5496" w:themeColor="accent1" w:themeShade="BF"/>
          <w:sz w:val="32"/>
          <w:szCs w:val="32"/>
        </w:rPr>
        <w:t>23</w:t>
      </w:r>
      <w:r w:rsidRPr="003668BE">
        <w:rPr>
          <w:color w:val="2F5496" w:themeColor="accent1" w:themeShade="BF"/>
          <w:sz w:val="32"/>
          <w:szCs w:val="32"/>
        </w:rPr>
        <w:t>):</w:t>
      </w:r>
    </w:p>
    <w:p w14:paraId="5699F91B" w14:textId="77777777" w:rsidR="00AC414B" w:rsidRDefault="00AC414B" w:rsidP="00741C64"/>
    <w:p w14:paraId="3DEFB638" w14:textId="0797F936" w:rsidR="00741C64" w:rsidRPr="00831FAF" w:rsidRDefault="003668BE" w:rsidP="00741C64">
      <w:pPr>
        <w:rPr>
          <w:b/>
          <w:bCs/>
          <w:color w:val="2F5496" w:themeColor="accent1" w:themeShade="BF"/>
          <w:sz w:val="44"/>
          <w:szCs w:val="44"/>
        </w:rPr>
      </w:pPr>
      <w:r w:rsidRPr="00831FAF">
        <w:rPr>
          <w:b/>
          <w:bCs/>
          <w:color w:val="2F5496" w:themeColor="accent1" w:themeShade="BF"/>
          <w:sz w:val="44"/>
          <w:szCs w:val="44"/>
        </w:rPr>
        <w:t>Director Gerente:</w:t>
      </w:r>
    </w:p>
    <w:p w14:paraId="5DDBF0C5" w14:textId="0A14BA05" w:rsidR="00AC414B" w:rsidRPr="00F676FE" w:rsidRDefault="00AC414B" w:rsidP="003668BE">
      <w:pPr>
        <w:rPr>
          <w:i/>
          <w:iCs/>
          <w:sz w:val="24"/>
          <w:szCs w:val="24"/>
        </w:rPr>
      </w:pPr>
      <w:r w:rsidRPr="00AC414B">
        <w:rPr>
          <w:b/>
          <w:bCs/>
          <w:sz w:val="32"/>
          <w:szCs w:val="32"/>
        </w:rPr>
        <w:t>Vacante</w:t>
      </w:r>
      <w:r w:rsidRPr="00AC414B">
        <w:rPr>
          <w:b/>
          <w:bCs/>
          <w:sz w:val="32"/>
          <w:szCs w:val="32"/>
        </w:rPr>
        <w:br/>
      </w:r>
      <w:r w:rsidRPr="00AC414B">
        <w:rPr>
          <w:i/>
          <w:iCs/>
          <w:sz w:val="24"/>
          <w:szCs w:val="24"/>
        </w:rPr>
        <w:t>(</w:t>
      </w:r>
      <w:r w:rsidR="00C43483">
        <w:rPr>
          <w:i/>
          <w:iCs/>
          <w:sz w:val="24"/>
          <w:szCs w:val="24"/>
        </w:rPr>
        <w:t>Todo</w:t>
      </w:r>
      <w:r w:rsidRPr="00AC414B">
        <w:rPr>
          <w:i/>
          <w:iCs/>
          <w:sz w:val="24"/>
          <w:szCs w:val="24"/>
        </w:rPr>
        <w:t xml:space="preserve"> 202</w:t>
      </w:r>
      <w:r w:rsidR="00F676FE">
        <w:rPr>
          <w:i/>
          <w:iCs/>
          <w:sz w:val="24"/>
          <w:szCs w:val="24"/>
        </w:rPr>
        <w:t>3</w:t>
      </w:r>
      <w:r w:rsidRPr="00AC414B">
        <w:rPr>
          <w:i/>
          <w:iCs/>
          <w:sz w:val="24"/>
          <w:szCs w:val="24"/>
        </w:rPr>
        <w:t>)</w:t>
      </w:r>
    </w:p>
    <w:p w14:paraId="72724D64" w14:textId="678523AF" w:rsidR="003668BE" w:rsidRPr="00831FAF" w:rsidRDefault="003668BE" w:rsidP="00831FAF">
      <w:pPr>
        <w:rPr>
          <w:b/>
          <w:bCs/>
          <w:color w:val="2F5496" w:themeColor="accent1" w:themeShade="BF"/>
          <w:sz w:val="44"/>
          <w:szCs w:val="44"/>
        </w:rPr>
      </w:pPr>
      <w:r w:rsidRPr="00831FAF">
        <w:rPr>
          <w:b/>
          <w:bCs/>
          <w:color w:val="2F5496" w:themeColor="accent1" w:themeShade="BF"/>
          <w:sz w:val="44"/>
          <w:szCs w:val="44"/>
        </w:rPr>
        <w:t>Consejer</w:t>
      </w:r>
      <w:r w:rsidR="00831FAF" w:rsidRPr="00831FAF">
        <w:rPr>
          <w:b/>
          <w:bCs/>
          <w:color w:val="2F5496" w:themeColor="accent1" w:themeShade="BF"/>
          <w:sz w:val="44"/>
          <w:szCs w:val="44"/>
        </w:rPr>
        <w:t xml:space="preserve">a </w:t>
      </w:r>
      <w:proofErr w:type="gramStart"/>
      <w:r w:rsidRPr="00831FAF">
        <w:rPr>
          <w:b/>
          <w:bCs/>
          <w:color w:val="2F5496" w:themeColor="accent1" w:themeShade="BF"/>
          <w:sz w:val="44"/>
          <w:szCs w:val="44"/>
        </w:rPr>
        <w:t>Director</w:t>
      </w:r>
      <w:r w:rsidR="00831FAF" w:rsidRPr="00831FAF">
        <w:rPr>
          <w:b/>
          <w:bCs/>
          <w:color w:val="2F5496" w:themeColor="accent1" w:themeShade="BF"/>
          <w:sz w:val="44"/>
          <w:szCs w:val="44"/>
        </w:rPr>
        <w:t>a</w:t>
      </w:r>
      <w:proofErr w:type="gramEnd"/>
      <w:r w:rsidR="00831FAF">
        <w:rPr>
          <w:b/>
          <w:bCs/>
          <w:color w:val="2F5496" w:themeColor="accent1" w:themeShade="BF"/>
          <w:sz w:val="44"/>
          <w:szCs w:val="44"/>
        </w:rPr>
        <w:t>:</w:t>
      </w:r>
    </w:p>
    <w:p w14:paraId="3642C037" w14:textId="79B6D49A" w:rsidR="00831FAF" w:rsidRDefault="00831FAF" w:rsidP="00831FAF">
      <w:pPr>
        <w:jc w:val="right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E8DA4D" wp14:editId="76070497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1171575" cy="1171575"/>
            <wp:effectExtent l="0" t="0" r="9525" b="9525"/>
            <wp:wrapSquare wrapText="bothSides"/>
            <wp:docPr id="1017866874" name="Imagen 1" descr="Carlos Tar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os Tarif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95F669" w14:textId="405C76B4" w:rsidR="00831FAF" w:rsidRDefault="00831FAF" w:rsidP="00831FAF">
      <w:pPr>
        <w:jc w:val="both"/>
        <w:rPr>
          <w:b/>
          <w:bCs/>
          <w:sz w:val="32"/>
          <w:szCs w:val="32"/>
        </w:rPr>
      </w:pP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Tercera 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Teniente de Alcalde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. Concejala de Gobierno del Área de Planificación del Territorio. Concejala-</w:t>
      </w:r>
      <w:proofErr w:type="gram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Presidenta</w:t>
      </w:r>
      <w:proofErr w:type="gram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del </w:t>
      </w:r>
      <w:proofErr w:type="spellStart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Tagoror</w:t>
      </w:r>
      <w:proofErr w:type="spellEnd"/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del Distrito Salud-La Salle</w:t>
      </w:r>
    </w:p>
    <w:p w14:paraId="4C38C11E" w14:textId="77777777" w:rsidR="00831FAF" w:rsidRPr="00831FAF" w:rsidRDefault="00F676FE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ptos" w:hAnsi="Aptos"/>
          <w:b/>
          <w:bCs/>
          <w:i/>
          <w:iCs/>
          <w:color w:val="4472C4" w:themeColor="accent1"/>
          <w:sz w:val="32"/>
          <w:szCs w:val="32"/>
        </w:rPr>
      </w:pPr>
      <w:r w:rsidRPr="00831FAF">
        <w:rPr>
          <w:rFonts w:ascii="Aptos" w:hAnsi="Aptos"/>
          <w:b/>
          <w:bCs/>
          <w:i/>
          <w:iCs/>
          <w:color w:val="4472C4" w:themeColor="accent1"/>
          <w:sz w:val="32"/>
          <w:szCs w:val="32"/>
        </w:rPr>
        <w:t>Zaida C. González Rodríguez</w:t>
      </w:r>
    </w:p>
    <w:p w14:paraId="3B9789B2" w14:textId="6061E523" w:rsidR="00831FAF" w:rsidRP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b/>
          <w:bCs/>
          <w:color w:val="5B9BD5" w:themeColor="accent5"/>
          <w:sz w:val="21"/>
          <w:szCs w:val="21"/>
        </w:rPr>
      </w:pPr>
      <w:r w:rsidRPr="00831FAF">
        <w:rPr>
          <w:rFonts w:ascii="Open Sans" w:hAnsi="Open Sans" w:cs="Open Sans"/>
          <w:b/>
          <w:bCs/>
          <w:color w:val="5B9BD5" w:themeColor="accent5"/>
          <w:sz w:val="21"/>
          <w:szCs w:val="21"/>
        </w:rPr>
        <w:t>Nombramiento:</w:t>
      </w:r>
    </w:p>
    <w:p w14:paraId="3CC3F079" w14:textId="0F4A9735" w:rsidR="00831FAF" w:rsidRP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Aptos" w:hAnsi="Aptos"/>
          <w:b/>
          <w:bCs/>
          <w:sz w:val="32"/>
          <w:szCs w:val="32"/>
        </w:rPr>
      </w:pPr>
      <w:r w:rsidRPr="00831FAF">
        <w:rPr>
          <w:rFonts w:ascii="Open Sans" w:hAnsi="Open Sans" w:cs="Open Sans"/>
          <w:color w:val="333333"/>
          <w:sz w:val="21"/>
          <w:szCs w:val="21"/>
        </w:rPr>
        <w:t>Competencias sectoriales en materia de planeamiento territorial y urbanístico, lo que conlleva la Vicepresidencia Primera y el nombramiento de </w:t>
      </w:r>
      <w:proofErr w:type="gramStart"/>
      <w:r w:rsidRPr="00831FAF">
        <w:rPr>
          <w:rFonts w:ascii="Open Sans" w:hAnsi="Open Sans" w:cs="Open Sans"/>
          <w:b/>
          <w:bCs/>
          <w:color w:val="333333"/>
          <w:sz w:val="21"/>
          <w:szCs w:val="21"/>
        </w:rPr>
        <w:t>Consejera Directora</w:t>
      </w:r>
      <w:proofErr w:type="gramEnd"/>
      <w:r w:rsidRPr="00831FAF">
        <w:rPr>
          <w:rFonts w:ascii="Open Sans" w:hAnsi="Open Sans" w:cs="Open Sans"/>
          <w:b/>
          <w:bCs/>
          <w:color w:val="333333"/>
          <w:sz w:val="21"/>
          <w:szCs w:val="21"/>
        </w:rPr>
        <w:t xml:space="preserve"> del Organismo Autónomo Gerencia Municipal de Urbanismo</w:t>
      </w:r>
      <w:r w:rsidRPr="00831FAF">
        <w:rPr>
          <w:rFonts w:ascii="Open Sans" w:hAnsi="Open Sans" w:cs="Open Sans"/>
          <w:color w:val="333333"/>
          <w:sz w:val="21"/>
          <w:szCs w:val="21"/>
        </w:rPr>
        <w:t>, conforme a lo previsto en sus Estatutos. Decreto de 19 de junio de 2023</w:t>
      </w:r>
    </w:p>
    <w:p w14:paraId="43ED2235" w14:textId="77777777" w:rsidR="00831FAF" w:rsidRPr="00831FAF" w:rsidRDefault="00831FAF" w:rsidP="00831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val="es-ES" w:eastAsia="es-ES"/>
          <w14:ligatures w14:val="none"/>
        </w:rPr>
        <w:t>BOP</w:t>
      </w: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 </w:t>
      </w:r>
      <w:r w:rsidRPr="00831FAF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val="es-ES" w:eastAsia="es-ES"/>
          <w14:ligatures w14:val="none"/>
        </w:rPr>
        <w:t>(Pendiente) </w:t>
      </w:r>
    </w:p>
    <w:p w14:paraId="7B461355" w14:textId="77777777" w:rsidR="00831FAF" w:rsidRPr="00831FAF" w:rsidRDefault="00831FAF" w:rsidP="00831F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hyperlink r:id="rId6" w:tgtFrame="_blank" w:history="1">
        <w:r w:rsidRPr="00831FAF">
          <w:rPr>
            <w:rFonts w:ascii="Open Sans" w:eastAsia="Times New Roman" w:hAnsi="Open Sans" w:cs="Open Sans"/>
            <w:b/>
            <w:bCs/>
            <w:color w:val="1368AD"/>
            <w:kern w:val="0"/>
            <w:sz w:val="21"/>
            <w:szCs w:val="21"/>
            <w:u w:val="single"/>
            <w:lang w:val="es-ES" w:eastAsia="es-ES"/>
            <w14:ligatures w14:val="none"/>
          </w:rPr>
          <w:t>Decreto</w:t>
        </w:r>
      </w:hyperlink>
      <w:r w:rsidRPr="00831F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val="es-ES" w:eastAsia="es-ES"/>
          <w14:ligatures w14:val="none"/>
        </w:rPr>
        <w:t> </w:t>
      </w:r>
      <w:r w:rsidRPr="00831FAF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val="es-ES" w:eastAsia="es-ES"/>
          <w14:ligatures w14:val="none"/>
        </w:rPr>
        <w:t>19 de junio de 2023</w:t>
      </w:r>
    </w:p>
    <w:p w14:paraId="71BC1584" w14:textId="5452D913" w:rsidR="00831FAF" w:rsidRPr="00831FAF" w:rsidRDefault="00831FAF" w:rsidP="00831FAF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Funciones:</w:t>
      </w:r>
    </w:p>
    <w:p w14:paraId="5D3C4833" w14:textId="77777777" w:rsidR="00831FAF" w:rsidRPr="00831FAF" w:rsidRDefault="00831FAF" w:rsidP="00831FAF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Le corresponden con </w:t>
      </w:r>
      <w:r w:rsidRPr="00831F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val="es-ES" w:eastAsia="es-ES"/>
          <w14:ligatures w14:val="none"/>
        </w:rPr>
        <w:t>carácter general</w:t>
      </w: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:</w:t>
      </w:r>
    </w:p>
    <w:p w14:paraId="6CAAC3A9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Ejecutar los acuerdos del Consejo Rector y suscribir la documentación de la Gerencia, especialmente las escrituras, contratos, actas de ocupación y pago y las certificaciones del inventario.</w:t>
      </w:r>
    </w:p>
    <w:p w14:paraId="6E212340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Elaborar, asistido por el Gerente, el anteproyecto de presupuesto y el programa de actuación de la Gerencia, ejercer la Jefatura Superior de ésta y establecer las directrices generales de su actuación.</w:t>
      </w:r>
    </w:p>
    <w:p w14:paraId="08524E02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Otorgar las licencias y autorizaciones que sean competencias de la Gerencia, dictar órdenes de ejecución en los casos previstos en las leyes, ordenar la suspensión de obras e imponer las sanciones que en cada caso procedan, así </w:t>
      </w: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lastRenderedPageBreak/>
        <w:t xml:space="preserve">como resolver sobre la anulación y revocación de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las mismas</w:t>
      </w:r>
      <w:proofErr w:type="gramEnd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 dando cuenta al Consejo Rector.</w:t>
      </w:r>
    </w:p>
    <w:p w14:paraId="58874AAA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Interesar del Registro de la Propiedad de las inscripciones o anotaciones que procedan en relación con los actos urbanísticos de la Gerencia.</w:t>
      </w:r>
    </w:p>
    <w:p w14:paraId="59482E7A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Declarar la situación legal de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ruina.</w:t>
      </w:r>
      <w:r w:rsidRPr="00831FAF">
        <w:rPr>
          <w:rFonts w:ascii="Arial" w:eastAsia="Times New Roman" w:hAnsi="Arial" w:cs="Arial"/>
          <w:color w:val="333333"/>
          <w:kern w:val="0"/>
          <w:sz w:val="21"/>
          <w:szCs w:val="21"/>
          <w:lang w:val="es-ES" w:eastAsia="es-ES"/>
          <w14:ligatures w14:val="none"/>
        </w:rPr>
        <w:t>.</w:t>
      </w:r>
      <w:proofErr w:type="gramEnd"/>
    </w:p>
    <w:p w14:paraId="412BEC8A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Ordenar el desahucio administrativo de los bienes propios o adscritos por causa de expropiación o de disciplina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urbanística.</w:t>
      </w:r>
      <w:r w:rsidRPr="00831FAF">
        <w:rPr>
          <w:rFonts w:ascii="Arial" w:eastAsia="Times New Roman" w:hAnsi="Arial" w:cs="Arial"/>
          <w:color w:val="333333"/>
          <w:kern w:val="0"/>
          <w:sz w:val="21"/>
          <w:szCs w:val="21"/>
          <w:lang w:val="es-ES" w:eastAsia="es-ES"/>
          <w14:ligatures w14:val="none"/>
        </w:rPr>
        <w:t>.</w:t>
      </w:r>
      <w:proofErr w:type="gramEnd"/>
    </w:p>
    <w:p w14:paraId="4D1E4B64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Ordenar la ejecución, paralización o demolición de obras en los casos de infracción urbanística, decretando, en su caso, la aplicación de la ejecución subsidiaria, la imposición de multas coercitivas y sanciones dentro del ámbito competencias encomendado a la Gerencia.</w:t>
      </w:r>
    </w:p>
    <w:p w14:paraId="1E3F0C54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Aprobar pliegos de condiciones y expedientes de contratación y adjudicar contratos de obras, servicios y asistencias técnicas cuando su cuantía no exceda del diez por ciento de los recursos ordinarios del presupuesto de la Gerencia.</w:t>
      </w:r>
    </w:p>
    <w:p w14:paraId="73C8B38D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Suscribir, con autorización del Consejo Rector y asistido por el funcionario que desempeñe las funciones de la fe pública y asesoramiento legal, convenios en materia urbanística con personas, asociaciones, entidades o corporaciones públicas o privadas, siempre que dichas competencias no estén atribuidas a otra autoridad u órgano municipal.</w:t>
      </w:r>
    </w:p>
    <w:p w14:paraId="759D1B89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Aprobar los gastos necesarios para la realización de las actuaciones urbanísticas en ejecución del Presupuesto de la Gerencia, salvo cuando estuviera atribuido a otro órgano.</w:t>
      </w:r>
    </w:p>
    <w:p w14:paraId="27364597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Facilitar la información requerida por los miembros del Consejo Rector, de conformidad con el procedimiento establecido reglamentariamente.</w:t>
      </w:r>
    </w:p>
    <w:p w14:paraId="68187E35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Decidir, cuando no fuese posible convocar el Consejo Rector y por razones de urgencia debidamente justificadas, las cuestiones de competencias de éste, comprendidas en las letras e) y u) del artículo 8 de los presentes Estatutos, debiendo dar cuenta de dicha actuación al Consejo para su ratificación en su caso, en la primera reunión que celebre.</w:t>
      </w:r>
    </w:p>
    <w:p w14:paraId="0EAE949E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Disponer las actuaciones necesarias para la ejecución de los proyectos de expropiación y resolver la devolución de fianzas y garantías depositadas o prestadas con motivo de la formalización de contratos.</w:t>
      </w:r>
    </w:p>
    <w:p w14:paraId="5A883150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La resolución de los recursos potestativos de reposición interpuestos contra los actos del propio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Consejero</w:t>
      </w:r>
      <w:proofErr w:type="gramEnd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 o de los recursos de alzada que pudieran interponerse frente a eventuales actos del Gerente.</w:t>
      </w:r>
    </w:p>
    <w:p w14:paraId="35D8A194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En el marco de las competencias inherentes a la actividad de gestión y ejecución del planeamiento, corresponderá al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Consejero Director</w:t>
      </w:r>
      <w:proofErr w:type="gramEnd"/>
      <w:r w:rsidRPr="00831FAF">
        <w:rPr>
          <w:rFonts w:ascii="Arial" w:eastAsia="Times New Roman" w:hAnsi="Arial" w:cs="Arial"/>
          <w:color w:val="333333"/>
          <w:kern w:val="0"/>
          <w:sz w:val="21"/>
          <w:szCs w:val="21"/>
          <w:lang w:val="es-ES" w:eastAsia="es-ES"/>
          <w14:ligatures w14:val="none"/>
        </w:rPr>
        <w:t>:</w:t>
      </w:r>
    </w:p>
    <w:p w14:paraId="52BB8A99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Incoación del expediente de cambio de sistema de ejecución.</w:t>
      </w:r>
    </w:p>
    <w:p w14:paraId="7FC0F5A1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lastRenderedPageBreak/>
        <w:t>Asunción o inadmisión de la iniciativa de ejecución privada, o en su caso, requerir la subsanación de eventuales defectos.</w:t>
      </w:r>
    </w:p>
    <w:p w14:paraId="289C30D4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Aprobación inicial de instrumentos de gestión.</w:t>
      </w:r>
    </w:p>
    <w:p w14:paraId="0B09FAED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Aprobación inicial de los Estatutos y las Bases de actuación en el sistema de compensación.</w:t>
      </w:r>
    </w:p>
    <w:p w14:paraId="18EC1BA2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Iniciación del expediente que desarrolla el sistema de cooperación.</w:t>
      </w:r>
    </w:p>
    <w:p w14:paraId="34ECDEE8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Incoación y aprobación inicial del expediente de expropiación cuando se aplique el procedimiento de tasación conjunta.</w:t>
      </w:r>
    </w:p>
    <w:p w14:paraId="7E3047F0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Acuerdo de iniciación del expediente de declaración de incumplimiento de deberes legales y obligaciones inherentes al sistema de ejecución privado elegido para la actuación de que se trate y su sustitución por el sistema de ejecución forzosa.</w:t>
      </w:r>
    </w:p>
    <w:p w14:paraId="1D44C457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Incoación del expediente de delimitación de áreas en las que los solares queden sujetos al régimen de ejecución de la edificación por sustitución del propietario.</w:t>
      </w:r>
    </w:p>
    <w:p w14:paraId="722D04B6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Acuerdo de incoación de procedimiento para la determinación del aprovechamiento urbanístico global y medio de equidistribución del ámbito o sector en los términos de la disposición adicional primera del Reglamento de Gestión y Ejecución del Sistema de Planeamiento de Canarias.</w:t>
      </w:r>
    </w:p>
    <w:p w14:paraId="441AA26B" w14:textId="77777777" w:rsidR="00831FAF" w:rsidRPr="00831FAF" w:rsidRDefault="00831FAF" w:rsidP="00831F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Resolver sobre la devolución de fianzas y garantías depositadas para responder de las obligaciones urbanísticas o convencionales contraídas con ocasión de la realización de actuaciones gestionadas o de competencia de la Gerencia.</w:t>
      </w:r>
    </w:p>
    <w:p w14:paraId="4CD5B6B7" w14:textId="77777777" w:rsidR="00831FAF" w:rsidRPr="00831FAF" w:rsidRDefault="00831FAF" w:rsidP="00831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 xml:space="preserve">Realizar todas aquellas competencias que estando atribuidas a la Gerencia no estén asignadas, de manera expresa, a otro órgano de </w:t>
      </w:r>
      <w:proofErr w:type="gramStart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la misma</w:t>
      </w:r>
      <w:proofErr w:type="gramEnd"/>
      <w:r w:rsidRPr="00831FAF">
        <w:rPr>
          <w:rFonts w:ascii="Open Sans" w:eastAsia="Times New Roman" w:hAnsi="Open Sans" w:cs="Open Sans"/>
          <w:color w:val="333333"/>
          <w:kern w:val="0"/>
          <w:sz w:val="21"/>
          <w:szCs w:val="21"/>
          <w:lang w:val="es-ES" w:eastAsia="es-ES"/>
          <w14:ligatures w14:val="none"/>
        </w:rPr>
        <w:t>.</w:t>
      </w:r>
    </w:p>
    <w:p w14:paraId="0EB7A597" w14:textId="288B71BF" w:rsidR="00831FAF" w:rsidRPr="00831FAF" w:rsidRDefault="00831FAF" w:rsidP="00831FAF">
      <w:pPr>
        <w:shd w:val="clear" w:color="auto" w:fill="FFFFFF"/>
        <w:spacing w:before="100" w:beforeAutospacing="1" w:after="100" w:afterAutospacing="1" w:line="360" w:lineRule="atLeast"/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 w:rsidRPr="00831FAF"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Compatibilidades</w:t>
      </w:r>
      <w:r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  <w:t>:</w:t>
      </w:r>
    </w:p>
    <w:p w14:paraId="069FCA2D" w14:textId="77777777" w:rsid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Actividades públicas o privadas para las que tiene </w:t>
      </w: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concedida la compatibilidad</w:t>
      </w:r>
      <w:r>
        <w:rPr>
          <w:rFonts w:ascii="Open Sans" w:hAnsi="Open Sans" w:cs="Open Sans"/>
          <w:color w:val="333333"/>
          <w:sz w:val="21"/>
          <w:szCs w:val="21"/>
        </w:rPr>
        <w:t>:</w:t>
      </w:r>
    </w:p>
    <w:p w14:paraId="3B1BE701" w14:textId="33C1A4C3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Ninguna</w:t>
      </w:r>
    </w:p>
    <w:p w14:paraId="4AA002D7" w14:textId="77777777" w:rsidR="00831FAF" w:rsidRDefault="00831FAF">
      <w:pPr>
        <w:rPr>
          <w:rFonts w:ascii="Open Sans" w:eastAsia="Times New Roman" w:hAnsi="Open Sans" w:cs="Open Sans"/>
          <w:b/>
          <w:bCs/>
          <w:color w:val="5B9BD5" w:themeColor="accent5"/>
          <w:kern w:val="0"/>
          <w:sz w:val="21"/>
          <w:szCs w:val="21"/>
          <w:lang w:val="es-ES" w:eastAsia="es-ES"/>
          <w14:ligatures w14:val="none"/>
        </w:rPr>
      </w:pPr>
      <w:r>
        <w:rPr>
          <w:rFonts w:ascii="Open Sans" w:hAnsi="Open Sans" w:cs="Open Sans"/>
          <w:b/>
          <w:bCs/>
          <w:color w:val="5B9BD5" w:themeColor="accent5"/>
          <w:sz w:val="21"/>
          <w:szCs w:val="21"/>
        </w:rPr>
        <w:br w:type="page"/>
      </w:r>
    </w:p>
    <w:p w14:paraId="5AB9EE74" w14:textId="74E68598" w:rsidR="00831FAF" w:rsidRP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b/>
          <w:bCs/>
          <w:color w:val="5B9BD5" w:themeColor="accent5"/>
          <w:sz w:val="21"/>
          <w:szCs w:val="21"/>
        </w:rPr>
      </w:pPr>
      <w:r w:rsidRPr="00831FAF">
        <w:rPr>
          <w:rFonts w:ascii="Open Sans" w:hAnsi="Open Sans" w:cs="Open Sans"/>
          <w:b/>
          <w:bCs/>
          <w:color w:val="5B9BD5" w:themeColor="accent5"/>
          <w:sz w:val="21"/>
          <w:szCs w:val="21"/>
        </w:rPr>
        <w:lastRenderedPageBreak/>
        <w:t>Órganos de los que es miembro:</w:t>
      </w:r>
    </w:p>
    <w:p w14:paraId="51CACA5D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Miembro de la Junta de Gobierno de la Ciudad de Santa Cruz de Tenerife</w:t>
      </w:r>
    </w:p>
    <w:p w14:paraId="6BC23224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140A7F8C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Tenienta de </w:t>
      </w:r>
      <w:proofErr w:type="gram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Alcalde</w:t>
      </w:r>
      <w:proofErr w:type="gramEnd"/>
    </w:p>
    <w:p w14:paraId="71CBEA0F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36DF373D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Concejala de Gobierno y </w:t>
      </w:r>
      <w:proofErr w:type="gram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Concejala Delegada</w:t>
      </w:r>
      <w:proofErr w:type="gramEnd"/>
    </w:p>
    <w:p w14:paraId="2C56E751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1CF4E532" w14:textId="77777777" w:rsidR="00831FAF" w:rsidRDefault="00831FAF" w:rsidP="00831FAF">
      <w:pPr>
        <w:pStyle w:val="text-align-justify"/>
        <w:numPr>
          <w:ilvl w:val="0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Concejala-</w:t>
      </w:r>
      <w:proofErr w:type="gram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Presidenta</w:t>
      </w:r>
      <w:proofErr w:type="gramEnd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 del </w:t>
      </w:r>
      <w:proofErr w:type="spellStart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Tagoror</w:t>
      </w:r>
      <w:proofErr w:type="spellEnd"/>
      <w:r>
        <w:rPr>
          <w:rStyle w:val="Textoennegrita"/>
          <w:rFonts w:ascii="Open Sans" w:hAnsi="Open Sans" w:cs="Open Sans"/>
          <w:color w:val="333333"/>
          <w:sz w:val="21"/>
          <w:szCs w:val="21"/>
        </w:rPr>
        <w:t xml:space="preserve"> del Distrito Salud-La Salle</w:t>
      </w:r>
    </w:p>
    <w:p w14:paraId="7A096FAD" w14:textId="77777777" w:rsidR="00831FAF" w:rsidRDefault="00831FAF" w:rsidP="00831FAF">
      <w:pPr>
        <w:pStyle w:val="text-align-justify"/>
        <w:numPr>
          <w:ilvl w:val="1"/>
          <w:numId w:val="3"/>
        </w:numPr>
        <w:shd w:val="clear" w:color="auto" w:fill="FFFFFF"/>
        <w:spacing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Decreto de 19 de junio de 2023</w:t>
      </w:r>
    </w:p>
    <w:p w14:paraId="3519D25E" w14:textId="77777777" w:rsidR="00831FAF" w:rsidRDefault="00831FAF" w:rsidP="00831FAF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</w:p>
    <w:p w14:paraId="5EF244E9" w14:textId="77777777" w:rsidR="00831FAF" w:rsidRPr="00F676FE" w:rsidRDefault="00831FAF" w:rsidP="00741C64">
      <w:pPr>
        <w:rPr>
          <w:b/>
          <w:bCs/>
          <w:sz w:val="32"/>
          <w:szCs w:val="32"/>
        </w:rPr>
      </w:pPr>
    </w:p>
    <w:sectPr w:rsidR="00831FAF" w:rsidRPr="00F67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B4C"/>
    <w:multiLevelType w:val="multilevel"/>
    <w:tmpl w:val="5870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F05C5"/>
    <w:multiLevelType w:val="multilevel"/>
    <w:tmpl w:val="2578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B72BE"/>
    <w:multiLevelType w:val="hybridMultilevel"/>
    <w:tmpl w:val="887EC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E7D71"/>
    <w:multiLevelType w:val="multilevel"/>
    <w:tmpl w:val="7B34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79213">
    <w:abstractNumId w:val="3"/>
  </w:num>
  <w:num w:numId="2" w16cid:durableId="845051278">
    <w:abstractNumId w:val="0"/>
  </w:num>
  <w:num w:numId="3" w16cid:durableId="2091387755">
    <w:abstractNumId w:val="2"/>
  </w:num>
  <w:num w:numId="4" w16cid:durableId="54363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64"/>
    <w:rsid w:val="003668BE"/>
    <w:rsid w:val="00741C64"/>
    <w:rsid w:val="00831FAF"/>
    <w:rsid w:val="00AC414B"/>
    <w:rsid w:val="00C43483"/>
    <w:rsid w:val="00C81F79"/>
    <w:rsid w:val="00F6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6F28"/>
  <w15:chartTrackingRefBased/>
  <w15:docId w15:val="{5F9B5C63-8C53-43B3-A314-384DF3F5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41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1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-align-justify">
    <w:name w:val="text-align-justify"/>
    <w:basedOn w:val="Normal"/>
    <w:rsid w:val="0083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831FAF"/>
    <w:rPr>
      <w:b/>
      <w:bCs/>
    </w:rPr>
  </w:style>
  <w:style w:type="character" w:styleId="nfasis">
    <w:name w:val="Emphasis"/>
    <w:basedOn w:val="Fuentedeprrafopredeter"/>
    <w:uiPriority w:val="20"/>
    <w:qFormat/>
    <w:rsid w:val="00831FAF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831F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banismosantacruz.es/sites/default/files/Transparencia/Altos_Cargos/decreto_Concejala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2025-01-13T11:17:00Z</dcterms:created>
  <dcterms:modified xsi:type="dcterms:W3CDTF">2025-01-13T11:17:00Z</dcterms:modified>
</cp:coreProperties>
</file>