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C6AD" w14:textId="06A1B132" w:rsidR="00741C64" w:rsidRPr="003668BE" w:rsidRDefault="00741C64" w:rsidP="00741C64">
      <w:pPr>
        <w:pStyle w:val="Ttulo"/>
        <w:pBdr>
          <w:bottom w:val="single" w:sz="6" w:space="1" w:color="auto"/>
        </w:pBdr>
        <w:rPr>
          <w:color w:val="2F5496" w:themeColor="accent1" w:themeShade="BF"/>
          <w:sz w:val="32"/>
          <w:szCs w:val="32"/>
        </w:rPr>
      </w:pPr>
      <w:r w:rsidRPr="003668BE">
        <w:rPr>
          <w:b/>
          <w:bCs/>
          <w:color w:val="2F5496" w:themeColor="accent1" w:themeShade="BF"/>
        </w:rPr>
        <w:t>Altos Cargos</w:t>
      </w:r>
      <w:r w:rsidRPr="003668BE">
        <w:rPr>
          <w:color w:val="2F5496" w:themeColor="accent1" w:themeShade="BF"/>
        </w:rPr>
        <w:t xml:space="preserve"> </w:t>
      </w:r>
      <w:r w:rsidRPr="003668BE">
        <w:rPr>
          <w:color w:val="2F5496" w:themeColor="accent1" w:themeShade="BF"/>
          <w:sz w:val="32"/>
          <w:szCs w:val="32"/>
        </w:rPr>
        <w:t>(Ejercicio 20</w:t>
      </w:r>
      <w:r w:rsidR="00F676FE">
        <w:rPr>
          <w:color w:val="2F5496" w:themeColor="accent1" w:themeShade="BF"/>
          <w:sz w:val="32"/>
          <w:szCs w:val="32"/>
        </w:rPr>
        <w:t>2</w:t>
      </w:r>
      <w:r w:rsidR="003602B3">
        <w:rPr>
          <w:color w:val="2F5496" w:themeColor="accent1" w:themeShade="BF"/>
          <w:sz w:val="32"/>
          <w:szCs w:val="32"/>
        </w:rPr>
        <w:t>4</w:t>
      </w:r>
      <w:r w:rsidRPr="003668BE">
        <w:rPr>
          <w:color w:val="2F5496" w:themeColor="accent1" w:themeShade="BF"/>
          <w:sz w:val="32"/>
          <w:szCs w:val="32"/>
        </w:rPr>
        <w:t>):</w:t>
      </w:r>
    </w:p>
    <w:p w14:paraId="5699F91B" w14:textId="77777777" w:rsidR="00AC414B" w:rsidRDefault="00AC414B" w:rsidP="00741C64"/>
    <w:p w14:paraId="3DEFB638" w14:textId="0797F936" w:rsidR="00741C64" w:rsidRDefault="003668BE" w:rsidP="00741C64">
      <w:pPr>
        <w:rPr>
          <w:b/>
          <w:bCs/>
          <w:color w:val="2F5496" w:themeColor="accent1" w:themeShade="BF"/>
          <w:sz w:val="44"/>
          <w:szCs w:val="44"/>
        </w:rPr>
      </w:pPr>
      <w:r w:rsidRPr="00831FAF">
        <w:rPr>
          <w:b/>
          <w:bCs/>
          <w:color w:val="2F5496" w:themeColor="accent1" w:themeShade="BF"/>
          <w:sz w:val="44"/>
          <w:szCs w:val="44"/>
        </w:rPr>
        <w:t>Director Gerente:</w:t>
      </w:r>
    </w:p>
    <w:p w14:paraId="05ED7FCD" w14:textId="14C54914" w:rsidR="003602B3" w:rsidRPr="003602B3" w:rsidRDefault="003602B3" w:rsidP="003602B3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ptos" w:hAnsi="Aptos"/>
          <w:b/>
          <w:bCs/>
          <w:i/>
          <w:iCs/>
          <w:color w:val="4472C4" w:themeColor="accent1"/>
          <w:sz w:val="32"/>
          <w:szCs w:val="32"/>
        </w:rPr>
      </w:pPr>
      <w:r>
        <w:rPr>
          <w:rFonts w:ascii="Aptos" w:hAnsi="Aptos"/>
          <w:b/>
          <w:bCs/>
          <w:i/>
          <w:iCs/>
          <w:color w:val="4472C4" w:themeColor="accent1"/>
          <w:sz w:val="32"/>
          <w:szCs w:val="32"/>
        </w:rPr>
        <w:t xml:space="preserve">Guillermo Díaz Guerra </w:t>
      </w:r>
      <w:r w:rsidRPr="003602B3">
        <w:rPr>
          <w:rFonts w:ascii="Aptos" w:hAnsi="Aptos"/>
          <w:color w:val="4472C4" w:themeColor="accent1"/>
        </w:rPr>
        <w:t>(</w:t>
      </w:r>
      <w:r>
        <w:rPr>
          <w:rFonts w:ascii="Aptos" w:hAnsi="Aptos"/>
          <w:color w:val="4472C4" w:themeColor="accent1"/>
        </w:rPr>
        <w:t xml:space="preserve">desde </w:t>
      </w:r>
      <w:r w:rsidRPr="003602B3">
        <w:rPr>
          <w:rFonts w:ascii="Aptos" w:hAnsi="Aptos"/>
          <w:color w:val="4472C4" w:themeColor="accent1"/>
        </w:rPr>
        <w:t>junio 2024)</w:t>
      </w:r>
    </w:p>
    <w:p w14:paraId="26869194" w14:textId="4CA7EE9B" w:rsidR="003602B3" w:rsidRDefault="003602B3" w:rsidP="003602B3">
      <w:pPr>
        <w:jc w:val="both"/>
      </w:pPr>
      <w:r w:rsidRPr="003602B3">
        <w:t xml:space="preserve">Nacido en Santa Cruz de Tenerife el 25 de diciembre de 1967. Divorciado con 3 hijos. Farmacéutico. Funcionario Inspector de sanidad desde 1998. Ha sido Portavoz adjunto en el Ayuntamiento de Santa Cruz de Tenerife, Portavoz en el Cabildo de Tenerife, </w:t>
      </w:r>
      <w:proofErr w:type="gramStart"/>
      <w:r w:rsidRPr="003602B3">
        <w:t>Director General</w:t>
      </w:r>
      <w:proofErr w:type="gramEnd"/>
      <w:r w:rsidRPr="003602B3">
        <w:t xml:space="preserve"> en la Consejería de agricultura, pesca y alimentación del Gobierno autónomo, Diputado autonómico y, por último, Subdelegado del Gobierno de España para la provincia de Santa Cruz de Tenerife</w:t>
      </w:r>
      <w:r>
        <w:t>.</w:t>
      </w:r>
    </w:p>
    <w:p w14:paraId="0ED505E4" w14:textId="77777777" w:rsidR="003602B3" w:rsidRPr="00831FAF" w:rsidRDefault="003602B3" w:rsidP="003602B3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b/>
          <w:bCs/>
          <w:color w:val="5B9BD5" w:themeColor="accent5"/>
          <w:sz w:val="21"/>
          <w:szCs w:val="21"/>
        </w:rPr>
      </w:pPr>
      <w:r w:rsidRPr="00831FAF">
        <w:rPr>
          <w:rFonts w:ascii="Open Sans" w:hAnsi="Open Sans" w:cs="Open Sans"/>
          <w:b/>
          <w:bCs/>
          <w:color w:val="5B9BD5" w:themeColor="accent5"/>
          <w:sz w:val="21"/>
          <w:szCs w:val="21"/>
        </w:rPr>
        <w:t>Nombramiento:</w:t>
      </w:r>
    </w:p>
    <w:p w14:paraId="0FD238AD" w14:textId="52DA8CF6" w:rsidR="003602B3" w:rsidRDefault="003602B3" w:rsidP="003602B3">
      <w:pPr>
        <w:jc w:val="both"/>
      </w:pPr>
      <w:hyperlink r:id="rId5" w:history="1">
        <w:r w:rsidRPr="003602B3">
          <w:rPr>
            <w:rStyle w:val="Hipervnculo"/>
          </w:rPr>
          <w:t>14 junio 2024 (BOP74/2024)</w:t>
        </w:r>
      </w:hyperlink>
    </w:p>
    <w:p w14:paraId="1B8DA877" w14:textId="77777777" w:rsidR="003602B3" w:rsidRPr="00831FAF" w:rsidRDefault="003602B3" w:rsidP="003602B3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Funciones:</w:t>
      </w:r>
    </w:p>
    <w:p w14:paraId="0DB6A41C" w14:textId="77777777" w:rsidR="003602B3" w:rsidRPr="003602B3" w:rsidRDefault="003602B3" w:rsidP="003602B3">
      <w:pPr>
        <w:pStyle w:val="Open"/>
      </w:pPr>
      <w:r w:rsidRPr="003602B3">
        <w:t>Corresponden al Gerente, con carácter general, las siguientes atribuciones:</w:t>
      </w:r>
    </w:p>
    <w:p w14:paraId="32C27454" w14:textId="77777777" w:rsidR="003602B3" w:rsidRPr="003602B3" w:rsidRDefault="003602B3" w:rsidP="003602B3">
      <w:pPr>
        <w:pStyle w:val="Open"/>
        <w:numPr>
          <w:ilvl w:val="0"/>
          <w:numId w:val="10"/>
        </w:numPr>
      </w:pPr>
      <w:r w:rsidRPr="003602B3">
        <w:t>Cooperar en la definición de las líneas estratégicas y de los objetivos de la Gerencia. Coordinar e impulsar las acciones precisas para la elaboración del programa de actuación de la Gerencia, su integración con los de los entes descentralizados adscritos y con los de las demás Áreas de Gobierno del Ayuntamiento de Santa Cruz de Tenerife, siguiendo los principios de la programación general, así como su seguimiento y evaluación.</w:t>
      </w:r>
    </w:p>
    <w:p w14:paraId="68F59028" w14:textId="77777777" w:rsidR="003602B3" w:rsidRPr="003602B3" w:rsidRDefault="003602B3" w:rsidP="003602B3">
      <w:pPr>
        <w:pStyle w:val="Open"/>
        <w:numPr>
          <w:ilvl w:val="0"/>
          <w:numId w:val="10"/>
        </w:numPr>
      </w:pPr>
      <w:r w:rsidRPr="003602B3">
        <w:t>Dirección ejecutiva, supervisión e impulso de las actividades de la Gerencia, garantizando su normal funcionamiento, con criterios de eficacia, eficiencia y calidad. Establecimiento de directrices para la mejor gestión de los recursos de la Gerencia. e. Representación ejecutiva de la Gerencia</w:t>
      </w:r>
    </w:p>
    <w:p w14:paraId="2FA83FF9" w14:textId="77777777" w:rsidR="003602B3" w:rsidRPr="003602B3" w:rsidRDefault="003602B3" w:rsidP="003602B3">
      <w:pPr>
        <w:pStyle w:val="Open"/>
        <w:numPr>
          <w:ilvl w:val="0"/>
          <w:numId w:val="10"/>
        </w:numPr>
      </w:pPr>
      <w:r w:rsidRPr="003602B3">
        <w:t>Difusión de las actividades de la Gerencia e impulso de la colaboración y el trabajo en equipo, así como cooperación con las otras Áreas de Gobierno del Ayuntamiento de Santa Cruz de Tenerife.</w:t>
      </w:r>
    </w:p>
    <w:p w14:paraId="64AB0D72" w14:textId="77777777" w:rsidR="003602B3" w:rsidRPr="003602B3" w:rsidRDefault="003602B3" w:rsidP="003602B3">
      <w:pPr>
        <w:pStyle w:val="Open"/>
        <w:numPr>
          <w:ilvl w:val="0"/>
          <w:numId w:val="10"/>
        </w:numPr>
      </w:pPr>
      <w:r w:rsidRPr="003602B3">
        <w:t>Elaborar el cuadro de mando de la Gerencia y de la memoria anual de actividades.</w:t>
      </w:r>
    </w:p>
    <w:p w14:paraId="112FAE07" w14:textId="77777777" w:rsidR="003602B3" w:rsidRPr="003602B3" w:rsidRDefault="003602B3" w:rsidP="003602B3">
      <w:pPr>
        <w:pStyle w:val="Open"/>
      </w:pPr>
      <w:r w:rsidRPr="003602B3">
        <w:lastRenderedPageBreak/>
        <w:t>Además, le corresponderán al Gerente, con carácter específico, las siguientes atribuciones:</w:t>
      </w:r>
    </w:p>
    <w:p w14:paraId="6D33ED53" w14:textId="77777777" w:rsidR="003602B3" w:rsidRPr="003602B3" w:rsidRDefault="003602B3" w:rsidP="003602B3">
      <w:pPr>
        <w:pStyle w:val="Open"/>
        <w:numPr>
          <w:ilvl w:val="0"/>
          <w:numId w:val="9"/>
        </w:numPr>
      </w:pPr>
      <w:r w:rsidRPr="003602B3">
        <w:t xml:space="preserve">Realizar las gestiones técnico-administrativas y materiales que sean precisas para la ejecución de los acuerdos del Consejo Rector, del </w:t>
      </w:r>
      <w:proofErr w:type="gramStart"/>
      <w:r w:rsidRPr="003602B3">
        <w:t>Presidente</w:t>
      </w:r>
      <w:proofErr w:type="gramEnd"/>
      <w:r w:rsidRPr="003602B3">
        <w:t xml:space="preserve"> del mismo y del propio Consejero-Director bajo la dirección y supervisión de este último.</w:t>
      </w:r>
    </w:p>
    <w:p w14:paraId="7C247E7D" w14:textId="77777777" w:rsidR="003602B3" w:rsidRPr="003602B3" w:rsidRDefault="003602B3" w:rsidP="003602B3">
      <w:pPr>
        <w:pStyle w:val="Open"/>
        <w:numPr>
          <w:ilvl w:val="0"/>
          <w:numId w:val="9"/>
        </w:numPr>
      </w:pPr>
      <w:r w:rsidRPr="003602B3">
        <w:t xml:space="preserve">Inspeccionar, fiscalizar, vigilar y dirigir la actividad de los Servicios de la Gerencia y de su personal, así como informar al </w:t>
      </w:r>
      <w:proofErr w:type="gramStart"/>
      <w:r w:rsidRPr="003602B3">
        <w:t>Consejero</w:t>
      </w:r>
      <w:proofErr w:type="gramEnd"/>
      <w:r w:rsidRPr="003602B3">
        <w:t>-Director sobre el desarrollo, coste y rendimiento de los mismos.</w:t>
      </w:r>
    </w:p>
    <w:p w14:paraId="1F156CA3" w14:textId="77777777" w:rsidR="003602B3" w:rsidRPr="003602B3" w:rsidRDefault="003602B3" w:rsidP="003602B3">
      <w:pPr>
        <w:pStyle w:val="Open"/>
        <w:numPr>
          <w:ilvl w:val="0"/>
          <w:numId w:val="9"/>
        </w:numPr>
      </w:pPr>
      <w:r w:rsidRPr="003602B3">
        <w:t>Ordenar la iniciación de actuaciones de acuerdo con los programas y directrices que se señalen por los demás órganos de dirección.</w:t>
      </w:r>
    </w:p>
    <w:p w14:paraId="13F559FF" w14:textId="77777777" w:rsidR="003602B3" w:rsidRPr="003602B3" w:rsidRDefault="003602B3" w:rsidP="003602B3">
      <w:pPr>
        <w:pStyle w:val="Open"/>
        <w:numPr>
          <w:ilvl w:val="0"/>
          <w:numId w:val="9"/>
        </w:numPr>
      </w:pPr>
      <w:r w:rsidRPr="003602B3">
        <w:t>Conformar las certificaciones de obras, servicios y suministros contratados por la Gerencia.</w:t>
      </w:r>
    </w:p>
    <w:p w14:paraId="468A48A1" w14:textId="77777777" w:rsidR="003602B3" w:rsidRPr="003602B3" w:rsidRDefault="003602B3" w:rsidP="003602B3">
      <w:pPr>
        <w:pStyle w:val="Open"/>
        <w:numPr>
          <w:ilvl w:val="0"/>
          <w:numId w:val="9"/>
        </w:numPr>
      </w:pPr>
      <w:r w:rsidRPr="003602B3">
        <w:t>Proponer los gastos y los pagos necesarios para el desarrollo de las actividades propias de la Gerencia.</w:t>
      </w:r>
    </w:p>
    <w:p w14:paraId="0D2B8613" w14:textId="6029272F" w:rsidR="003602B3" w:rsidRPr="003602B3" w:rsidRDefault="003602B3" w:rsidP="003602B3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Compatibilidades</w:t>
      </w:r>
      <w:r w:rsidRPr="003602B3"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:</w:t>
      </w:r>
    </w:p>
    <w:p w14:paraId="326659BE" w14:textId="5E09F2ED" w:rsidR="003602B3" w:rsidRDefault="003602B3" w:rsidP="003602B3">
      <w:pPr>
        <w:pStyle w:val="Open"/>
        <w:numPr>
          <w:ilvl w:val="0"/>
          <w:numId w:val="8"/>
        </w:numPr>
      </w:pPr>
      <w:r w:rsidRPr="003602B3">
        <w:t>Ninguna</w:t>
      </w:r>
    </w:p>
    <w:p w14:paraId="6FFE345A" w14:textId="76C0A311" w:rsidR="003602B3" w:rsidRPr="003602B3" w:rsidRDefault="003602B3" w:rsidP="003602B3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Órganos Adscritos</w:t>
      </w:r>
      <w:r w:rsidRPr="003602B3"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:</w:t>
      </w:r>
    </w:p>
    <w:p w14:paraId="4266775E" w14:textId="22E8774E" w:rsidR="003602B3" w:rsidRPr="003602B3" w:rsidRDefault="003602B3" w:rsidP="003602B3">
      <w:pPr>
        <w:pStyle w:val="Open"/>
        <w:numPr>
          <w:ilvl w:val="0"/>
          <w:numId w:val="8"/>
        </w:numPr>
      </w:pPr>
      <w:r w:rsidRPr="003602B3">
        <w:t>Miembro del Consejo Rector</w:t>
      </w:r>
    </w:p>
    <w:p w14:paraId="3642C037" w14:textId="1517431B" w:rsidR="00831FAF" w:rsidRPr="003602B3" w:rsidRDefault="003668BE" w:rsidP="003602B3">
      <w:pPr>
        <w:rPr>
          <w:b/>
          <w:bCs/>
          <w:color w:val="2F5496" w:themeColor="accent1" w:themeShade="BF"/>
          <w:sz w:val="44"/>
          <w:szCs w:val="44"/>
        </w:rPr>
      </w:pPr>
      <w:r w:rsidRPr="00831FAF">
        <w:rPr>
          <w:b/>
          <w:bCs/>
          <w:color w:val="2F5496" w:themeColor="accent1" w:themeShade="BF"/>
          <w:sz w:val="44"/>
          <w:szCs w:val="44"/>
        </w:rPr>
        <w:t>Consejer</w:t>
      </w:r>
      <w:r w:rsidR="00831FAF" w:rsidRPr="00831FAF">
        <w:rPr>
          <w:b/>
          <w:bCs/>
          <w:color w:val="2F5496" w:themeColor="accent1" w:themeShade="BF"/>
          <w:sz w:val="44"/>
          <w:szCs w:val="44"/>
        </w:rPr>
        <w:t xml:space="preserve">a </w:t>
      </w:r>
      <w:proofErr w:type="gramStart"/>
      <w:r w:rsidRPr="00831FAF">
        <w:rPr>
          <w:b/>
          <w:bCs/>
          <w:color w:val="2F5496" w:themeColor="accent1" w:themeShade="BF"/>
          <w:sz w:val="44"/>
          <w:szCs w:val="44"/>
        </w:rPr>
        <w:t>Director</w:t>
      </w:r>
      <w:r w:rsidR="00831FAF" w:rsidRPr="00831FAF">
        <w:rPr>
          <w:b/>
          <w:bCs/>
          <w:color w:val="2F5496" w:themeColor="accent1" w:themeShade="BF"/>
          <w:sz w:val="44"/>
          <w:szCs w:val="44"/>
        </w:rPr>
        <w:t>a</w:t>
      </w:r>
      <w:proofErr w:type="gramEnd"/>
      <w:r w:rsidR="00831FAF">
        <w:rPr>
          <w:b/>
          <w:bCs/>
          <w:color w:val="2F5496" w:themeColor="accent1" w:themeShade="BF"/>
          <w:sz w:val="44"/>
          <w:szCs w:val="44"/>
        </w:rPr>
        <w:t>:</w:t>
      </w:r>
    </w:p>
    <w:p w14:paraId="1A95F669" w14:textId="405C76B4" w:rsidR="00831FAF" w:rsidRDefault="00831FAF" w:rsidP="00831FAF">
      <w:pPr>
        <w:jc w:val="both"/>
        <w:rPr>
          <w:b/>
          <w:bCs/>
          <w:sz w:val="32"/>
          <w:szCs w:val="32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Tercera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Teniente de Alcalde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 Concejala de Gobierno del Área de Planificación del Territorio. Concejala-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Presidenta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del </w:t>
      </w:r>
      <w:proofErr w:type="spell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Tagoror</w:t>
      </w:r>
      <w:proofErr w:type="spell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del Distrito Salud-La Salle</w:t>
      </w:r>
    </w:p>
    <w:p w14:paraId="4C38C11E" w14:textId="77777777" w:rsidR="00831FAF" w:rsidRPr="00831FAF" w:rsidRDefault="00F676FE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ptos" w:hAnsi="Aptos"/>
          <w:b/>
          <w:bCs/>
          <w:i/>
          <w:iCs/>
          <w:color w:val="4472C4" w:themeColor="accent1"/>
          <w:sz w:val="32"/>
          <w:szCs w:val="32"/>
        </w:rPr>
      </w:pPr>
      <w:r w:rsidRPr="00831FAF">
        <w:rPr>
          <w:rFonts w:ascii="Aptos" w:hAnsi="Aptos"/>
          <w:b/>
          <w:bCs/>
          <w:i/>
          <w:iCs/>
          <w:color w:val="4472C4" w:themeColor="accent1"/>
          <w:sz w:val="32"/>
          <w:szCs w:val="32"/>
        </w:rPr>
        <w:t>Zaida C. González Rodríguez</w:t>
      </w:r>
    </w:p>
    <w:p w14:paraId="3B9789B2" w14:textId="6061E523" w:rsidR="00831FAF" w:rsidRP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b/>
          <w:bCs/>
          <w:color w:val="5B9BD5" w:themeColor="accent5"/>
          <w:sz w:val="21"/>
          <w:szCs w:val="21"/>
        </w:rPr>
      </w:pPr>
      <w:r w:rsidRPr="00831FAF">
        <w:rPr>
          <w:rFonts w:ascii="Open Sans" w:hAnsi="Open Sans" w:cs="Open Sans"/>
          <w:b/>
          <w:bCs/>
          <w:color w:val="5B9BD5" w:themeColor="accent5"/>
          <w:sz w:val="21"/>
          <w:szCs w:val="21"/>
        </w:rPr>
        <w:t>Nombramiento:</w:t>
      </w:r>
    </w:p>
    <w:p w14:paraId="3CC3F079" w14:textId="0F4A9735" w:rsidR="00831FAF" w:rsidRP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ptos" w:hAnsi="Aptos"/>
          <w:b/>
          <w:bCs/>
          <w:sz w:val="32"/>
          <w:szCs w:val="32"/>
        </w:rPr>
      </w:pPr>
      <w:r w:rsidRPr="00831FAF">
        <w:rPr>
          <w:rFonts w:ascii="Open Sans" w:hAnsi="Open Sans" w:cs="Open Sans"/>
          <w:color w:val="333333"/>
          <w:sz w:val="21"/>
          <w:szCs w:val="21"/>
        </w:rPr>
        <w:t>Com</w:t>
      </w:r>
      <w:r w:rsidRPr="003602B3">
        <w:rPr>
          <w:rStyle w:val="OpenCar"/>
        </w:rPr>
        <w:t>petenci</w:t>
      </w:r>
      <w:r w:rsidRPr="00831FAF">
        <w:rPr>
          <w:rFonts w:ascii="Open Sans" w:hAnsi="Open Sans" w:cs="Open Sans"/>
          <w:color w:val="333333"/>
          <w:sz w:val="21"/>
          <w:szCs w:val="21"/>
        </w:rPr>
        <w:t>as sectoriales en materia de planeamiento territorial y urbanístico, lo que conlleva la Vicepresidencia Primera y el nombramiento de </w:t>
      </w:r>
      <w:proofErr w:type="gramStart"/>
      <w:r w:rsidRPr="00831FAF">
        <w:rPr>
          <w:rFonts w:ascii="Open Sans" w:hAnsi="Open Sans" w:cs="Open Sans"/>
          <w:b/>
          <w:bCs/>
          <w:color w:val="333333"/>
          <w:sz w:val="21"/>
          <w:szCs w:val="21"/>
        </w:rPr>
        <w:t>Consejera Directora</w:t>
      </w:r>
      <w:proofErr w:type="gramEnd"/>
      <w:r w:rsidRPr="00831FAF">
        <w:rPr>
          <w:rFonts w:ascii="Open Sans" w:hAnsi="Open Sans" w:cs="Open Sans"/>
          <w:b/>
          <w:bCs/>
          <w:color w:val="333333"/>
          <w:sz w:val="21"/>
          <w:szCs w:val="21"/>
        </w:rPr>
        <w:t xml:space="preserve"> del Organismo Autónomo Gerencia Municipal de Urbanismo</w:t>
      </w:r>
      <w:r w:rsidRPr="00831FAF">
        <w:rPr>
          <w:rFonts w:ascii="Open Sans" w:hAnsi="Open Sans" w:cs="Open Sans"/>
          <w:color w:val="333333"/>
          <w:sz w:val="21"/>
          <w:szCs w:val="21"/>
        </w:rPr>
        <w:t>, conforme a lo previsto en sus Estatutos. Decreto de 19 de junio de 2023</w:t>
      </w:r>
    </w:p>
    <w:p w14:paraId="43ED2235" w14:textId="77777777" w:rsidR="00831FAF" w:rsidRPr="00831FAF" w:rsidRDefault="00831FAF" w:rsidP="00831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val="es-ES" w:eastAsia="es-ES"/>
          <w14:ligatures w14:val="none"/>
        </w:rPr>
        <w:lastRenderedPageBreak/>
        <w:t>BOP</w:t>
      </w: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 </w:t>
      </w:r>
      <w:r w:rsidRPr="00831FAF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val="es-ES" w:eastAsia="es-ES"/>
          <w14:ligatures w14:val="none"/>
        </w:rPr>
        <w:t>(Pendiente) </w:t>
      </w:r>
    </w:p>
    <w:p w14:paraId="7B461355" w14:textId="77777777" w:rsidR="00831FAF" w:rsidRPr="00831FAF" w:rsidRDefault="00831FAF" w:rsidP="00831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hyperlink r:id="rId6" w:tgtFrame="_blank" w:history="1">
        <w:r w:rsidRPr="00831FAF">
          <w:rPr>
            <w:rFonts w:ascii="Open Sans" w:eastAsia="Times New Roman" w:hAnsi="Open Sans" w:cs="Open Sans"/>
            <w:b/>
            <w:bCs/>
            <w:color w:val="1368AD"/>
            <w:kern w:val="0"/>
            <w:sz w:val="21"/>
            <w:szCs w:val="21"/>
            <w:u w:val="single"/>
            <w:lang w:val="es-ES" w:eastAsia="es-ES"/>
            <w14:ligatures w14:val="none"/>
          </w:rPr>
          <w:t>Decreto</w:t>
        </w:r>
      </w:hyperlink>
      <w:r w:rsidRPr="00831F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val="es-ES" w:eastAsia="es-ES"/>
          <w14:ligatures w14:val="none"/>
        </w:rPr>
        <w:t> </w:t>
      </w:r>
      <w:r w:rsidRPr="00831FAF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val="es-ES" w:eastAsia="es-ES"/>
          <w14:ligatures w14:val="none"/>
        </w:rPr>
        <w:t>19 de junio de 2023</w:t>
      </w:r>
    </w:p>
    <w:p w14:paraId="71BC1584" w14:textId="5452D913" w:rsidR="00831FAF" w:rsidRPr="00831FAF" w:rsidRDefault="00831FAF" w:rsidP="00831FAF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Funciones:</w:t>
      </w:r>
    </w:p>
    <w:p w14:paraId="5D3C4833" w14:textId="77777777" w:rsidR="00831FAF" w:rsidRPr="00831FAF" w:rsidRDefault="00831FAF" w:rsidP="00831FAF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Le corresponden con </w:t>
      </w:r>
      <w:r w:rsidRPr="00831F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val="es-ES" w:eastAsia="es-ES"/>
          <w14:ligatures w14:val="none"/>
        </w:rPr>
        <w:t>carácter general</w:t>
      </w: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:</w:t>
      </w:r>
    </w:p>
    <w:p w14:paraId="6CAAC3A9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Ejecutar los acuerdos del Consejo Rector y suscribir la documentación de la Gerencia, especialmente las escrituras, contratos, actas de ocupación y pago y las certificaciones del inventario.</w:t>
      </w:r>
    </w:p>
    <w:p w14:paraId="6E212340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Elaborar, asistido por el Gerente, el anteproyecto de presupuesto y el programa de actuación de la Gerencia, ejercer la Jefatura Superior de ésta y establecer las directrices generales de su actuación.</w:t>
      </w:r>
    </w:p>
    <w:p w14:paraId="08524E02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Otorgar las licencias y autorizaciones que sean competencias de la Gerencia, dictar órdenes de ejecución en los casos previstos en las leyes, ordenar la suspensión de obras e imponer las sanciones que en cada caso procedan, así como resolver sobre la anulación y revocación de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las mismas</w:t>
      </w:r>
      <w:proofErr w:type="gramEnd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 dando cuenta al Consejo Rector.</w:t>
      </w:r>
    </w:p>
    <w:p w14:paraId="58874AAA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Interesar del Registro de la Propiedad de las inscripciones o anotaciones que procedan en relación con los actos urbanísticos de la Gerencia.</w:t>
      </w:r>
    </w:p>
    <w:p w14:paraId="59482E7A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Declarar la situación legal de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ruina.</w:t>
      </w:r>
      <w:r w:rsidRPr="00831FAF">
        <w:rPr>
          <w:rFonts w:ascii="Arial" w:eastAsia="Times New Roman" w:hAnsi="Arial" w:cs="Arial"/>
          <w:color w:val="333333"/>
          <w:kern w:val="0"/>
          <w:sz w:val="21"/>
          <w:szCs w:val="21"/>
          <w:lang w:val="es-ES" w:eastAsia="es-ES"/>
          <w14:ligatures w14:val="none"/>
        </w:rPr>
        <w:t>.</w:t>
      </w:r>
      <w:proofErr w:type="gramEnd"/>
    </w:p>
    <w:p w14:paraId="412BEC8A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Ordenar el desahucio administrativo de los bienes propios o adscritos por causa de expropiación o de disciplina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urbanística.</w:t>
      </w:r>
      <w:r w:rsidRPr="00831FAF">
        <w:rPr>
          <w:rFonts w:ascii="Arial" w:eastAsia="Times New Roman" w:hAnsi="Arial" w:cs="Arial"/>
          <w:color w:val="333333"/>
          <w:kern w:val="0"/>
          <w:sz w:val="21"/>
          <w:szCs w:val="21"/>
          <w:lang w:val="es-ES" w:eastAsia="es-ES"/>
          <w14:ligatures w14:val="none"/>
        </w:rPr>
        <w:t>.</w:t>
      </w:r>
      <w:proofErr w:type="gramEnd"/>
    </w:p>
    <w:p w14:paraId="4D1E4B64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Ordenar la ejecución, paralización o demolición de obras en los casos de infracción urbanística, decretando, en su caso, la aplicación de la ejecución subsidiaria, la imposición de multas coercitivas y sanciones dentro del ámbito competencias encomendado a la Gerencia.</w:t>
      </w:r>
    </w:p>
    <w:p w14:paraId="1E3F0C54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Aprobar pliegos de condiciones y expedientes de contratación y adjudicar contratos de obras, servicios y asistencias técnicas cuando su cuantía no exceda del diez por ciento de los recursos ordinarios del presupuesto de la Gerencia.</w:t>
      </w:r>
    </w:p>
    <w:p w14:paraId="73C8B38D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Suscribir, con autorización del Consejo Rector y asistido por el funcionario que desempeñe las funciones de la fe pública y asesoramiento legal, convenios en materia urbanística con personas, asociaciones, entidades o corporaciones públicas o privadas, siempre que dichas competencias no estén atribuidas a otra autoridad u órgano municipal.</w:t>
      </w:r>
    </w:p>
    <w:p w14:paraId="759D1B89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Aprobar los gastos necesarios para la realización de las actuaciones urbanísticas en ejecución del Presupuesto de la Gerencia, salvo cuando estuviera atribuido a otro órgano.</w:t>
      </w:r>
    </w:p>
    <w:p w14:paraId="27364597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lastRenderedPageBreak/>
        <w:t>Facilitar la información requerida por los miembros del Consejo Rector, de conformidad con el procedimiento establecido reglamentariamente.</w:t>
      </w:r>
    </w:p>
    <w:p w14:paraId="68187E35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Decidir, cuando no fuese posible convocar el Consejo Rector y por razones de urgencia debidamente justificadas, las cuestiones de competencias de éste, comprendidas en las letras e) y u) del artículo 8 de los presentes Estatutos, debiendo dar cuenta de dicha actuación al Consejo para su ratificación en su caso, en la primera reunión que celebre.</w:t>
      </w:r>
    </w:p>
    <w:p w14:paraId="0EAE949E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Disponer las actuaciones necesarias para la ejecución de los proyectos de expropiación y resolver la devolución de fianzas y garantías depositadas o prestadas con motivo de la formalización de contratos.</w:t>
      </w:r>
    </w:p>
    <w:p w14:paraId="5A883150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La resolución de los recursos potestativos de reposición interpuestos contra los actos del propio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Consejero</w:t>
      </w:r>
      <w:proofErr w:type="gramEnd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 o de los recursos de alzada que pudieran interponerse frente a eventuales actos del Gerente.</w:t>
      </w:r>
    </w:p>
    <w:p w14:paraId="35D8A194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En el marco de las competencias inherentes a la actividad de gestión y ejecución del planeamiento, corresponderá al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Consejero Director</w:t>
      </w:r>
      <w:proofErr w:type="gramEnd"/>
      <w:r w:rsidRPr="00831FAF">
        <w:rPr>
          <w:rFonts w:ascii="Arial" w:eastAsia="Times New Roman" w:hAnsi="Arial" w:cs="Arial"/>
          <w:color w:val="333333"/>
          <w:kern w:val="0"/>
          <w:sz w:val="21"/>
          <w:szCs w:val="21"/>
          <w:lang w:val="es-ES" w:eastAsia="es-ES"/>
          <w14:ligatures w14:val="none"/>
        </w:rPr>
        <w:t>:</w:t>
      </w:r>
    </w:p>
    <w:p w14:paraId="52BB8A99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Incoación del expediente de cambio de sistema de ejecución.</w:t>
      </w:r>
    </w:p>
    <w:p w14:paraId="7FC0F5A1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Asunción o inadmisión de la iniciativa de ejecución privada, o en su caso, requerir la subsanación de eventuales defectos.</w:t>
      </w:r>
    </w:p>
    <w:p w14:paraId="289C30D4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Aprobación inicial de instrumentos de gestión.</w:t>
      </w:r>
    </w:p>
    <w:p w14:paraId="0B09FAED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Aprobación inicial de los Estatutos y las Bases de actuación en el sistema de compensación.</w:t>
      </w:r>
    </w:p>
    <w:p w14:paraId="18EC1BA2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Iniciación del expediente que desarrolla el sistema de cooperación.</w:t>
      </w:r>
    </w:p>
    <w:p w14:paraId="34ECDEE8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Incoación y aprobación inicial del expediente de expropiación cuando se aplique el procedimiento de tasación conjunta.</w:t>
      </w:r>
    </w:p>
    <w:p w14:paraId="7E3047F0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Acuerdo de iniciación del expediente de declaración de incumplimiento de deberes legales y obligaciones inherentes al sistema de ejecución privado elegido para la actuación de que se trate y su sustitución por el sistema de ejecución forzosa.</w:t>
      </w:r>
    </w:p>
    <w:p w14:paraId="1D44C457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Incoación del expediente de delimitación de áreas en las que los solares queden sujetos al régimen de ejecución de la edificación por sustitución del propietario.</w:t>
      </w:r>
    </w:p>
    <w:p w14:paraId="722D04B6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Acuerdo de incoación de procedimiento para la determinación del aprovechamiento urbanístico global y medio de equidistribución del ámbito o sector en los términos de la disposición adicional primera del Reglamento de Gestión y Ejecución del Sistema de Planeamiento de Canarias.</w:t>
      </w:r>
    </w:p>
    <w:p w14:paraId="441AA26B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Resolver sobre la devolución de fianzas y garantías depositadas para responder de las obligaciones urbanísticas o convencionales contraídas </w:t>
      </w: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lastRenderedPageBreak/>
        <w:t>con ocasión de la realización de actuaciones gestionadas o de competencia de la Gerencia.</w:t>
      </w:r>
    </w:p>
    <w:p w14:paraId="4CD5B6B7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Realizar todas aquellas competencias que estando atribuidas a la Gerencia no estén asignadas, de manera expresa, a otro órgano de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la misma</w:t>
      </w:r>
      <w:proofErr w:type="gramEnd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.</w:t>
      </w:r>
    </w:p>
    <w:p w14:paraId="0EB7A597" w14:textId="288B71BF" w:rsidR="00831FAF" w:rsidRPr="00831FAF" w:rsidRDefault="00831FAF" w:rsidP="00831FAF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Compatibilidades</w:t>
      </w:r>
      <w:r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:</w:t>
      </w:r>
    </w:p>
    <w:p w14:paraId="069FCA2D" w14:textId="77777777" w:rsid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Actividades públicas o privadas para las que tiene </w:t>
      </w: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concedida la compatibilidad</w:t>
      </w:r>
      <w:r>
        <w:rPr>
          <w:rFonts w:ascii="Open Sans" w:hAnsi="Open Sans" w:cs="Open Sans"/>
          <w:color w:val="333333"/>
          <w:sz w:val="21"/>
          <w:szCs w:val="21"/>
        </w:rPr>
        <w:t>:</w:t>
      </w:r>
    </w:p>
    <w:p w14:paraId="4AA002D7" w14:textId="556333BF" w:rsidR="00831FAF" w:rsidRPr="003602B3" w:rsidRDefault="00831FAF" w:rsidP="003602B3">
      <w:pPr>
        <w:pStyle w:val="text-align-justify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Ninguna</w:t>
      </w:r>
    </w:p>
    <w:p w14:paraId="5AB9EE74" w14:textId="74E68598" w:rsidR="00831FAF" w:rsidRP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b/>
          <w:bCs/>
          <w:color w:val="5B9BD5" w:themeColor="accent5"/>
          <w:sz w:val="21"/>
          <w:szCs w:val="21"/>
        </w:rPr>
      </w:pPr>
      <w:r w:rsidRPr="00831FAF">
        <w:rPr>
          <w:rFonts w:ascii="Open Sans" w:hAnsi="Open Sans" w:cs="Open Sans"/>
          <w:b/>
          <w:bCs/>
          <w:color w:val="5B9BD5" w:themeColor="accent5"/>
          <w:sz w:val="21"/>
          <w:szCs w:val="21"/>
        </w:rPr>
        <w:t>Órganos de los que es miembro:</w:t>
      </w:r>
    </w:p>
    <w:p w14:paraId="51CACA5D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Miembro de la Junta de Gobierno de la Ciudad de Santa Cruz de Tenerife</w:t>
      </w:r>
    </w:p>
    <w:p w14:paraId="6BC23224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140A7F8C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Tenienta de </w:t>
      </w:r>
      <w:proofErr w:type="gram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Alcalde</w:t>
      </w:r>
      <w:proofErr w:type="gramEnd"/>
    </w:p>
    <w:p w14:paraId="71CBEA0F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36DF373D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Concejala de Gobierno y </w:t>
      </w:r>
      <w:proofErr w:type="gram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Concejala Delegada</w:t>
      </w:r>
      <w:proofErr w:type="gramEnd"/>
    </w:p>
    <w:p w14:paraId="2C56E751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1CF4E532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Concejala-</w:t>
      </w:r>
      <w:proofErr w:type="gram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Presidenta</w:t>
      </w:r>
      <w:proofErr w:type="gramEnd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 del </w:t>
      </w:r>
      <w:proofErr w:type="spell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Tagoror</w:t>
      </w:r>
      <w:proofErr w:type="spellEnd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 del Distrito Salud-La Salle</w:t>
      </w:r>
    </w:p>
    <w:p w14:paraId="7A096FAD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3519D25E" w14:textId="77777777" w:rsid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5EF244E9" w14:textId="77777777" w:rsidR="00831FAF" w:rsidRPr="00F676FE" w:rsidRDefault="00831FAF" w:rsidP="00741C64">
      <w:pPr>
        <w:rPr>
          <w:b/>
          <w:bCs/>
          <w:sz w:val="32"/>
          <w:szCs w:val="32"/>
        </w:rPr>
      </w:pPr>
    </w:p>
    <w:sectPr w:rsidR="00831FAF" w:rsidRPr="00F67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B4C"/>
    <w:multiLevelType w:val="multilevel"/>
    <w:tmpl w:val="5870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B4F53"/>
    <w:multiLevelType w:val="hybridMultilevel"/>
    <w:tmpl w:val="CCDC9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2C88"/>
    <w:multiLevelType w:val="multilevel"/>
    <w:tmpl w:val="349E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80125"/>
    <w:multiLevelType w:val="hybridMultilevel"/>
    <w:tmpl w:val="26A4EE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05C5"/>
    <w:multiLevelType w:val="multilevel"/>
    <w:tmpl w:val="2578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B72BE"/>
    <w:multiLevelType w:val="hybridMultilevel"/>
    <w:tmpl w:val="887EC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1E8"/>
    <w:multiLevelType w:val="multilevel"/>
    <w:tmpl w:val="29E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70329"/>
    <w:multiLevelType w:val="hybridMultilevel"/>
    <w:tmpl w:val="2D323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A6412"/>
    <w:multiLevelType w:val="multilevel"/>
    <w:tmpl w:val="C74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E7D71"/>
    <w:multiLevelType w:val="multilevel"/>
    <w:tmpl w:val="7B34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9658B"/>
    <w:multiLevelType w:val="hybridMultilevel"/>
    <w:tmpl w:val="C660D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9213">
    <w:abstractNumId w:val="9"/>
  </w:num>
  <w:num w:numId="2" w16cid:durableId="845051278">
    <w:abstractNumId w:val="0"/>
  </w:num>
  <w:num w:numId="3" w16cid:durableId="2091387755">
    <w:abstractNumId w:val="5"/>
  </w:num>
  <w:num w:numId="4" w16cid:durableId="543639183">
    <w:abstractNumId w:val="4"/>
  </w:num>
  <w:num w:numId="5" w16cid:durableId="1225337197">
    <w:abstractNumId w:val="2"/>
  </w:num>
  <w:num w:numId="6" w16cid:durableId="222565837">
    <w:abstractNumId w:val="8"/>
  </w:num>
  <w:num w:numId="7" w16cid:durableId="387610047">
    <w:abstractNumId w:val="10"/>
  </w:num>
  <w:num w:numId="8" w16cid:durableId="944189047">
    <w:abstractNumId w:val="7"/>
  </w:num>
  <w:num w:numId="9" w16cid:durableId="275211888">
    <w:abstractNumId w:val="1"/>
  </w:num>
  <w:num w:numId="10" w16cid:durableId="763382472">
    <w:abstractNumId w:val="3"/>
  </w:num>
  <w:num w:numId="11" w16cid:durableId="1332902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64"/>
    <w:rsid w:val="003602B3"/>
    <w:rsid w:val="003668BE"/>
    <w:rsid w:val="00741C64"/>
    <w:rsid w:val="00831FAF"/>
    <w:rsid w:val="00AC414B"/>
    <w:rsid w:val="00C0670E"/>
    <w:rsid w:val="00C43483"/>
    <w:rsid w:val="00C81F79"/>
    <w:rsid w:val="00F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6F28"/>
  <w15:chartTrackingRefBased/>
  <w15:docId w15:val="{5F9B5C63-8C53-43B3-A314-384DF3F5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41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-align-justify">
    <w:name w:val="text-align-justify"/>
    <w:basedOn w:val="Normal"/>
    <w:link w:val="text-align-justifyCar"/>
    <w:rsid w:val="0083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831FAF"/>
    <w:rPr>
      <w:b/>
      <w:bCs/>
    </w:rPr>
  </w:style>
  <w:style w:type="character" w:styleId="nfasis">
    <w:name w:val="Emphasis"/>
    <w:basedOn w:val="Fuentedeprrafopredeter"/>
    <w:uiPriority w:val="20"/>
    <w:qFormat/>
    <w:rsid w:val="00831FA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31F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3602B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602B3"/>
    <w:pPr>
      <w:ind w:left="720"/>
      <w:contextualSpacing/>
    </w:pPr>
  </w:style>
  <w:style w:type="paragraph" w:customStyle="1" w:styleId="Open">
    <w:name w:val="Open"/>
    <w:basedOn w:val="text-align-justify"/>
    <w:link w:val="OpenCar"/>
    <w:qFormat/>
    <w:rsid w:val="003602B3"/>
    <w:pPr>
      <w:shd w:val="clear" w:color="auto" w:fill="FFFFFF"/>
      <w:spacing w:before="0" w:beforeAutospacing="0" w:after="300" w:afterAutospacing="0" w:line="360" w:lineRule="atLeast"/>
      <w:jc w:val="both"/>
    </w:pPr>
    <w:rPr>
      <w:rFonts w:ascii="Open Sans" w:hAnsi="Open Sans" w:cs="Open Sans"/>
      <w:color w:val="333333"/>
      <w:sz w:val="21"/>
      <w:szCs w:val="21"/>
    </w:rPr>
  </w:style>
  <w:style w:type="character" w:customStyle="1" w:styleId="text-align-justifyCar">
    <w:name w:val="text-align-justify Car"/>
    <w:basedOn w:val="Fuentedeprrafopredeter"/>
    <w:link w:val="text-align-justify"/>
    <w:rsid w:val="003602B3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OpenCar">
    <w:name w:val="Open Car"/>
    <w:basedOn w:val="text-align-justifyCar"/>
    <w:link w:val="Open"/>
    <w:rsid w:val="003602B3"/>
    <w:rPr>
      <w:rFonts w:ascii="Open Sans" w:eastAsia="Times New Roman" w:hAnsi="Open Sans" w:cs="Open Sans"/>
      <w:color w:val="333333"/>
      <w:kern w:val="0"/>
      <w:sz w:val="21"/>
      <w:szCs w:val="21"/>
      <w:shd w:val="clear" w:color="auto" w:fill="FFFFFF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banismosantacruz.es/sites/default/files/Transparencia/Altos_Cargos/decreto_Concejala.pdf" TargetMode="External"/><Relationship Id="rId5" Type="http://schemas.openxmlformats.org/officeDocument/2006/relationships/hyperlink" Target="https://172.20.150.10/sites/default/files/anuncios/2024-06/bop_nombamiento_geren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7223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2025-01-13T11:26:00Z</dcterms:created>
  <dcterms:modified xsi:type="dcterms:W3CDTF">2025-01-13T11:26:00Z</dcterms:modified>
</cp:coreProperties>
</file>