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BB090" w14:textId="030642B9" w:rsidR="00014420" w:rsidRDefault="00014420" w:rsidP="00014420">
      <w:pPr>
        <w:pStyle w:val="Ttulo"/>
        <w:jc w:val="right"/>
        <w:rPr>
          <w:rFonts w:ascii="Adobe Gothic Std B" w:eastAsia="Adobe Gothic Std B" w:hAnsi="Adobe Gothic Std B"/>
          <w:b/>
          <w:bCs/>
        </w:rPr>
      </w:pPr>
      <w:r w:rsidRPr="00014420">
        <w:rPr>
          <w:rFonts w:ascii="Arial" w:eastAsia="Adobe Gothic Std B" w:hAnsi="Arial" w:cs="Arial"/>
          <w:sz w:val="32"/>
          <w:szCs w:val="32"/>
        </w:rPr>
        <w:t>Información general de las</w:t>
      </w:r>
      <w:r w:rsidRPr="00014420">
        <w:rPr>
          <w:rFonts w:ascii="Adobe Gothic Std B" w:eastAsia="Adobe Gothic Std B" w:hAnsi="Adobe Gothic Std B"/>
        </w:rPr>
        <w:t xml:space="preserve"> </w:t>
      </w:r>
      <w:r w:rsidRPr="00014420">
        <w:rPr>
          <w:rFonts w:ascii="Adobe Gothic Std B" w:eastAsia="Adobe Gothic Std B" w:hAnsi="Adobe Gothic Std B"/>
          <w:b/>
          <w:bCs/>
          <w:color w:val="4472C4" w:themeColor="accent1"/>
        </w:rPr>
        <w:t xml:space="preserve">Entidades y </w:t>
      </w:r>
      <w:r w:rsidRPr="00014420">
        <w:rPr>
          <w:rFonts w:ascii="Calibri" w:eastAsia="Adobe Gothic Std B" w:hAnsi="Calibri" w:cs="Calibri"/>
          <w:b/>
          <w:bCs/>
          <w:color w:val="4472C4" w:themeColor="accent1"/>
        </w:rPr>
        <w:t>Ó</w:t>
      </w:r>
      <w:r w:rsidRPr="00014420">
        <w:rPr>
          <w:rFonts w:ascii="Adobe Gothic Std B" w:eastAsia="Adobe Gothic Std B" w:hAnsi="Adobe Gothic Std B"/>
          <w:b/>
          <w:bCs/>
          <w:color w:val="4472C4" w:themeColor="accent1"/>
        </w:rPr>
        <w:t>rganos de Contrataci</w:t>
      </w:r>
      <w:r w:rsidRPr="00014420">
        <w:rPr>
          <w:rFonts w:ascii="Calibri" w:eastAsia="Adobe Gothic Std B" w:hAnsi="Calibri" w:cs="Calibri"/>
          <w:b/>
          <w:bCs/>
          <w:color w:val="4472C4" w:themeColor="accent1"/>
        </w:rPr>
        <w:t>ó</w:t>
      </w:r>
      <w:r w:rsidRPr="00014420">
        <w:rPr>
          <w:rFonts w:ascii="Adobe Gothic Std B" w:eastAsia="Adobe Gothic Std B" w:hAnsi="Adobe Gothic Std B"/>
          <w:b/>
          <w:bCs/>
          <w:color w:val="4472C4" w:themeColor="accent1"/>
        </w:rPr>
        <w:t>n</w:t>
      </w:r>
    </w:p>
    <w:p w14:paraId="223A59A6" w14:textId="338DEFC1" w:rsidR="00014420" w:rsidRDefault="00014420" w:rsidP="00014420"/>
    <w:p w14:paraId="46F112DB" w14:textId="77777777" w:rsidR="00014420" w:rsidRPr="00014420" w:rsidRDefault="00014420" w:rsidP="00014420">
      <w:pPr>
        <w:shd w:val="clear" w:color="auto" w:fill="FFFFFF"/>
        <w:spacing w:after="300" w:line="360" w:lineRule="atLeast"/>
        <w:jc w:val="both"/>
        <w:rPr>
          <w:rFonts w:ascii="Open Sans" w:eastAsia="Times New Roman" w:hAnsi="Open Sans" w:cs="Open Sans"/>
          <w:color w:val="333333"/>
          <w:sz w:val="21"/>
          <w:szCs w:val="21"/>
          <w:lang w:eastAsia="es-ES_tradnl"/>
        </w:rPr>
      </w:pPr>
      <w:r w:rsidRPr="00014420">
        <w:rPr>
          <w:rFonts w:ascii="Open Sans" w:eastAsia="Times New Roman" w:hAnsi="Open Sans" w:cs="Open Sans"/>
          <w:color w:val="333333"/>
          <w:sz w:val="21"/>
          <w:szCs w:val="21"/>
          <w:lang w:eastAsia="es-ES_tradnl"/>
        </w:rPr>
        <w:t xml:space="preserve">De conformidad con </w:t>
      </w:r>
      <w:proofErr w:type="gramStart"/>
      <w:r w:rsidRPr="00014420">
        <w:rPr>
          <w:rFonts w:ascii="Open Sans" w:eastAsia="Times New Roman" w:hAnsi="Open Sans" w:cs="Open Sans"/>
          <w:color w:val="333333"/>
          <w:sz w:val="21"/>
          <w:szCs w:val="21"/>
          <w:lang w:eastAsia="es-ES_tradnl"/>
        </w:rPr>
        <w:t>los  </w:t>
      </w:r>
      <w:r w:rsidRPr="00014420">
        <w:rPr>
          <w:rFonts w:ascii="Open Sans" w:eastAsia="Times New Roman" w:hAnsi="Open Sans" w:cs="Open Sans"/>
          <w:b/>
          <w:bCs/>
          <w:i/>
          <w:iCs/>
          <w:color w:val="333333"/>
          <w:sz w:val="21"/>
          <w:szCs w:val="21"/>
          <w:lang w:val="es-ES" w:eastAsia="es-ES_tradnl"/>
        </w:rPr>
        <w:t>Artículos</w:t>
      </w:r>
      <w:proofErr w:type="gramEnd"/>
      <w:r w:rsidRPr="00014420">
        <w:rPr>
          <w:rFonts w:ascii="Open Sans" w:eastAsia="Times New Roman" w:hAnsi="Open Sans" w:cs="Open Sans"/>
          <w:b/>
          <w:bCs/>
          <w:i/>
          <w:iCs/>
          <w:color w:val="333333"/>
          <w:sz w:val="21"/>
          <w:szCs w:val="21"/>
          <w:lang w:val="es-ES" w:eastAsia="es-ES_tradnl"/>
        </w:rPr>
        <w:t xml:space="preserve"> 8.o)</w:t>
      </w:r>
      <w:r w:rsidRPr="00014420">
        <w:rPr>
          <w:rFonts w:ascii="Open Sans" w:eastAsia="Times New Roman" w:hAnsi="Open Sans" w:cs="Open Sans"/>
          <w:color w:val="333333"/>
          <w:sz w:val="21"/>
          <w:szCs w:val="21"/>
          <w:lang w:val="es-ES" w:eastAsia="es-ES_tradnl"/>
        </w:rPr>
        <w:t> y</w:t>
      </w:r>
      <w:r w:rsidRPr="00014420">
        <w:rPr>
          <w:rFonts w:ascii="Open Sans" w:eastAsia="Times New Roman" w:hAnsi="Open Sans" w:cs="Open Sans"/>
          <w:b/>
          <w:bCs/>
          <w:i/>
          <w:iCs/>
          <w:color w:val="333333"/>
          <w:sz w:val="21"/>
          <w:szCs w:val="21"/>
          <w:lang w:val="es-ES" w:eastAsia="es-ES_tradnl"/>
        </w:rPr>
        <w:t> 12.h) </w:t>
      </w:r>
      <w:r w:rsidRPr="00014420">
        <w:rPr>
          <w:rFonts w:ascii="Open Sans" w:eastAsia="Times New Roman" w:hAnsi="Open Sans" w:cs="Open Sans"/>
          <w:color w:val="333333"/>
          <w:sz w:val="21"/>
          <w:szCs w:val="21"/>
          <w:lang w:val="es-ES" w:eastAsia="es-ES_tradnl"/>
        </w:rPr>
        <w:t>de los Estatutos del Organismo Autónomo Gerencia Municipal de Santa Cruz de Tenerife, las competencias en materia de contratación las tienen el Consejo Rector y el Consejero Director:</w:t>
      </w:r>
    </w:p>
    <w:p w14:paraId="296D26CA" w14:textId="77777777" w:rsidR="00014420" w:rsidRPr="00014420" w:rsidRDefault="00014420" w:rsidP="00014420">
      <w:pPr>
        <w:shd w:val="clear" w:color="auto" w:fill="FFFFFF"/>
        <w:spacing w:after="300" w:line="360" w:lineRule="atLeast"/>
        <w:jc w:val="both"/>
        <w:rPr>
          <w:rFonts w:ascii="Open Sans" w:eastAsia="Times New Roman" w:hAnsi="Open Sans" w:cs="Open Sans"/>
          <w:color w:val="333333"/>
          <w:sz w:val="21"/>
          <w:szCs w:val="21"/>
          <w:lang w:eastAsia="es-ES_tradnl"/>
        </w:rPr>
      </w:pPr>
      <w:r w:rsidRPr="00014420">
        <w:rPr>
          <w:rFonts w:ascii="Open Sans" w:eastAsia="Times New Roman" w:hAnsi="Open Sans" w:cs="Open Sans"/>
          <w:b/>
          <w:bCs/>
          <w:color w:val="333333"/>
          <w:sz w:val="21"/>
          <w:szCs w:val="21"/>
          <w:lang w:val="es-ES" w:eastAsia="es-ES_tradnl"/>
        </w:rPr>
        <w:t>El Consejo Rector:</w:t>
      </w:r>
      <w:r w:rsidRPr="00014420">
        <w:rPr>
          <w:rFonts w:ascii="Open Sans" w:eastAsia="Times New Roman" w:hAnsi="Open Sans" w:cs="Open Sans"/>
          <w:color w:val="333333"/>
          <w:sz w:val="21"/>
          <w:szCs w:val="21"/>
          <w:lang w:val="es-ES" w:eastAsia="es-ES_tradnl"/>
        </w:rPr>
        <w:t> </w:t>
      </w:r>
      <w:proofErr w:type="spellStart"/>
      <w:r w:rsidRPr="00014420">
        <w:rPr>
          <w:rFonts w:ascii="Open Sans" w:eastAsia="Times New Roman" w:hAnsi="Open Sans" w:cs="Open Sans"/>
          <w:i/>
          <w:iCs/>
          <w:color w:val="333333"/>
          <w:sz w:val="21"/>
          <w:szCs w:val="21"/>
          <w:lang w:val="es-ES" w:eastAsia="es-ES_tradnl"/>
        </w:rPr>
        <w:t>Articulo</w:t>
      </w:r>
      <w:proofErr w:type="spellEnd"/>
      <w:r w:rsidRPr="00014420">
        <w:rPr>
          <w:rFonts w:ascii="Open Sans" w:eastAsia="Times New Roman" w:hAnsi="Open Sans" w:cs="Open Sans"/>
          <w:i/>
          <w:iCs/>
          <w:color w:val="333333"/>
          <w:sz w:val="21"/>
          <w:szCs w:val="21"/>
          <w:lang w:val="es-ES" w:eastAsia="es-ES_tradnl"/>
        </w:rPr>
        <w:t xml:space="preserve"> 8.o</w:t>
      </w:r>
      <w:r w:rsidRPr="00014420">
        <w:rPr>
          <w:rFonts w:ascii="Open Sans" w:eastAsia="Times New Roman" w:hAnsi="Open Sans" w:cs="Open Sans"/>
          <w:color w:val="333333"/>
          <w:sz w:val="21"/>
          <w:szCs w:val="21"/>
          <w:lang w:val="es-ES" w:eastAsia="es-ES_tradnl"/>
        </w:rPr>
        <w:t>) La aprobación de los Pliegos de Condiciones y expedientes de contratación de obras, servicios y asistencias técnicas, y la adjudicación de los contratos cuando su cuantía exceda del diez por ciento de los recursos ordinarios del presupuesto de la Gerencia, así como los contratos y concesiones plurianuales cuando su duración sea superior a cuatro años.</w:t>
      </w:r>
    </w:p>
    <w:p w14:paraId="5B75D4F2" w14:textId="77777777" w:rsidR="00014420" w:rsidRPr="00014420" w:rsidRDefault="00014420" w:rsidP="00014420">
      <w:pPr>
        <w:shd w:val="clear" w:color="auto" w:fill="FFFFFF"/>
        <w:spacing w:after="300" w:line="360" w:lineRule="atLeast"/>
        <w:rPr>
          <w:rFonts w:ascii="Open Sans" w:eastAsia="Times New Roman" w:hAnsi="Open Sans" w:cs="Open Sans"/>
          <w:color w:val="333333"/>
          <w:sz w:val="21"/>
          <w:szCs w:val="21"/>
          <w:lang w:eastAsia="es-ES_tradnl"/>
        </w:rPr>
      </w:pPr>
      <w:r w:rsidRPr="00014420">
        <w:rPr>
          <w:rFonts w:ascii="Open Sans" w:eastAsia="Times New Roman" w:hAnsi="Open Sans" w:cs="Open Sans"/>
          <w:color w:val="333333"/>
          <w:sz w:val="21"/>
          <w:szCs w:val="21"/>
          <w:lang w:val="es-ES" w:eastAsia="es-ES_tradnl"/>
        </w:rPr>
        <w:t>Base 6ª de las Bases Específicas de Ejecución del Presupuesto de la Gerencia Municipal de Urbanismo</w:t>
      </w:r>
    </w:p>
    <w:p w14:paraId="52771F48" w14:textId="77777777" w:rsidR="00014420" w:rsidRPr="00014420" w:rsidRDefault="00014420" w:rsidP="00014420">
      <w:pPr>
        <w:shd w:val="clear" w:color="auto" w:fill="FFFFFF"/>
        <w:spacing w:after="210" w:line="405" w:lineRule="atLeast"/>
        <w:outlineLvl w:val="3"/>
        <w:rPr>
          <w:rFonts w:ascii="Open Sans" w:eastAsia="Times New Roman" w:hAnsi="Open Sans" w:cs="Open Sans"/>
          <w:color w:val="333333"/>
          <w:sz w:val="34"/>
          <w:szCs w:val="34"/>
          <w:lang w:val="es-ES" w:eastAsia="es-ES_tradnl"/>
        </w:rPr>
      </w:pPr>
      <w:r w:rsidRPr="00014420">
        <w:rPr>
          <w:rFonts w:ascii="Open Sans" w:eastAsia="Times New Roman" w:hAnsi="Open Sans" w:cs="Open Sans"/>
          <w:color w:val="333333"/>
          <w:sz w:val="34"/>
          <w:szCs w:val="34"/>
          <w:lang w:val="es-ES" w:eastAsia="es-ES_tradnl"/>
        </w:rPr>
        <w:t>CAPÍTULO III - GASTOS FINANCIEROS</w:t>
      </w:r>
    </w:p>
    <w:p w14:paraId="3EF7DF0E" w14:textId="77777777" w:rsidR="00014420" w:rsidRPr="00014420" w:rsidRDefault="00014420" w:rsidP="00014420">
      <w:pPr>
        <w:shd w:val="clear" w:color="auto" w:fill="FFFFFF"/>
        <w:spacing w:after="300" w:line="360" w:lineRule="atLeast"/>
        <w:rPr>
          <w:rFonts w:ascii="Open Sans" w:eastAsia="Times New Roman" w:hAnsi="Open Sans" w:cs="Open Sans"/>
          <w:color w:val="333333"/>
          <w:sz w:val="21"/>
          <w:szCs w:val="21"/>
          <w:lang w:eastAsia="es-ES_tradnl"/>
        </w:rPr>
      </w:pPr>
      <w:r w:rsidRPr="00014420">
        <w:rPr>
          <w:rFonts w:ascii="Open Sans" w:eastAsia="Times New Roman" w:hAnsi="Open Sans" w:cs="Open Sans"/>
          <w:color w:val="333333"/>
          <w:sz w:val="21"/>
          <w:szCs w:val="21"/>
          <w:lang w:val="es-ES" w:eastAsia="es-ES_tradnl"/>
        </w:rPr>
        <w:t>Las contrataciones y concesiones de todo tipo cuando por su valor o duración no correspondan al Sr. </w:t>
      </w:r>
      <w:proofErr w:type="gramStart"/>
      <w:r w:rsidRPr="00014420">
        <w:rPr>
          <w:rFonts w:ascii="Open Sans" w:eastAsia="Times New Roman" w:hAnsi="Open Sans" w:cs="Open Sans"/>
          <w:color w:val="333333"/>
          <w:sz w:val="21"/>
          <w:szCs w:val="21"/>
          <w:lang w:val="es-ES" w:eastAsia="es-ES_tradnl"/>
        </w:rPr>
        <w:t>Consejero Director</w:t>
      </w:r>
      <w:proofErr w:type="gramEnd"/>
      <w:r w:rsidRPr="00014420">
        <w:rPr>
          <w:rFonts w:ascii="Open Sans" w:eastAsia="Times New Roman" w:hAnsi="Open Sans" w:cs="Open Sans"/>
          <w:color w:val="333333"/>
          <w:sz w:val="21"/>
          <w:szCs w:val="21"/>
          <w:lang w:val="es-ES" w:eastAsia="es-ES_tradnl"/>
        </w:rPr>
        <w:t>.</w:t>
      </w:r>
    </w:p>
    <w:p w14:paraId="4634E404" w14:textId="77777777" w:rsidR="00014420" w:rsidRPr="00014420" w:rsidRDefault="00014420" w:rsidP="00014420">
      <w:pPr>
        <w:shd w:val="clear" w:color="auto" w:fill="FFFFFF"/>
        <w:spacing w:after="300" w:line="360" w:lineRule="atLeast"/>
        <w:jc w:val="both"/>
        <w:rPr>
          <w:rFonts w:ascii="Open Sans" w:eastAsia="Times New Roman" w:hAnsi="Open Sans" w:cs="Open Sans"/>
          <w:color w:val="333333"/>
          <w:sz w:val="21"/>
          <w:szCs w:val="21"/>
          <w:lang w:eastAsia="es-ES_tradnl"/>
        </w:rPr>
      </w:pPr>
      <w:r w:rsidRPr="00014420">
        <w:rPr>
          <w:rFonts w:ascii="Open Sans" w:eastAsia="Times New Roman" w:hAnsi="Open Sans" w:cs="Open Sans"/>
          <w:b/>
          <w:bCs/>
          <w:color w:val="333333"/>
          <w:sz w:val="21"/>
          <w:szCs w:val="21"/>
          <w:lang w:val="es-ES" w:eastAsia="es-ES_tradnl"/>
        </w:rPr>
        <w:t xml:space="preserve">Consejero/a </w:t>
      </w:r>
      <w:proofErr w:type="gramStart"/>
      <w:r w:rsidRPr="00014420">
        <w:rPr>
          <w:rFonts w:ascii="Open Sans" w:eastAsia="Times New Roman" w:hAnsi="Open Sans" w:cs="Open Sans"/>
          <w:b/>
          <w:bCs/>
          <w:color w:val="333333"/>
          <w:sz w:val="21"/>
          <w:szCs w:val="21"/>
          <w:lang w:val="es-ES" w:eastAsia="es-ES_tradnl"/>
        </w:rPr>
        <w:t>Director</w:t>
      </w:r>
      <w:proofErr w:type="gramEnd"/>
      <w:r w:rsidRPr="00014420">
        <w:rPr>
          <w:rFonts w:ascii="Open Sans" w:eastAsia="Times New Roman" w:hAnsi="Open Sans" w:cs="Open Sans"/>
          <w:b/>
          <w:bCs/>
          <w:color w:val="333333"/>
          <w:sz w:val="21"/>
          <w:szCs w:val="21"/>
          <w:lang w:val="es-ES" w:eastAsia="es-ES_tradnl"/>
        </w:rPr>
        <w:t>/a</w:t>
      </w:r>
      <w:r w:rsidRPr="00014420">
        <w:rPr>
          <w:rFonts w:ascii="Open Sans" w:eastAsia="Times New Roman" w:hAnsi="Open Sans" w:cs="Open Sans"/>
          <w:color w:val="333333"/>
          <w:sz w:val="21"/>
          <w:szCs w:val="21"/>
          <w:lang w:val="es-ES" w:eastAsia="es-ES_tradnl"/>
        </w:rPr>
        <w:t>: </w:t>
      </w:r>
      <w:r w:rsidRPr="00014420">
        <w:rPr>
          <w:rFonts w:ascii="Open Sans" w:eastAsia="Times New Roman" w:hAnsi="Open Sans" w:cs="Open Sans"/>
          <w:i/>
          <w:iCs/>
          <w:color w:val="333333"/>
          <w:sz w:val="21"/>
          <w:szCs w:val="21"/>
          <w:lang w:val="es-ES" w:eastAsia="es-ES_tradnl"/>
        </w:rPr>
        <w:t>Articulo 12.h</w:t>
      </w:r>
      <w:r w:rsidRPr="00014420">
        <w:rPr>
          <w:rFonts w:ascii="Open Sans" w:eastAsia="Times New Roman" w:hAnsi="Open Sans" w:cs="Open Sans"/>
          <w:color w:val="333333"/>
          <w:sz w:val="21"/>
          <w:szCs w:val="21"/>
          <w:lang w:val="es-ES" w:eastAsia="es-ES_tradnl"/>
        </w:rPr>
        <w:t>) Aprobar Pliegos de Condiciones y expedientes de contratación y adjudicar contratos de obras, servicios y asistencias técnicas, cuando su cuantía no exceda del diez por ciento de los recursos ordinarios del presupuesto de la Gerencia.</w:t>
      </w:r>
    </w:p>
    <w:p w14:paraId="761C55AD" w14:textId="77777777" w:rsidR="00014420" w:rsidRPr="00014420" w:rsidRDefault="00014420" w:rsidP="00014420">
      <w:pPr>
        <w:shd w:val="clear" w:color="auto" w:fill="FFFFFF"/>
        <w:spacing w:after="300" w:line="360" w:lineRule="atLeast"/>
        <w:rPr>
          <w:rFonts w:ascii="Open Sans" w:eastAsia="Times New Roman" w:hAnsi="Open Sans" w:cs="Open Sans"/>
          <w:color w:val="333333"/>
          <w:sz w:val="21"/>
          <w:szCs w:val="21"/>
          <w:lang w:eastAsia="es-ES_tradnl"/>
        </w:rPr>
      </w:pPr>
      <w:r w:rsidRPr="00014420">
        <w:rPr>
          <w:rFonts w:ascii="Open Sans" w:eastAsia="Times New Roman" w:hAnsi="Open Sans" w:cs="Open Sans"/>
          <w:color w:val="333333"/>
          <w:sz w:val="21"/>
          <w:szCs w:val="21"/>
          <w:lang w:val="es-ES" w:eastAsia="es-ES_tradnl"/>
        </w:rPr>
        <w:t>Base 6ª de las Bases Específicas de Ejecución del Presupuesto de la Gerencia Municipal de Urbanismo</w:t>
      </w:r>
    </w:p>
    <w:p w14:paraId="380FC117" w14:textId="77777777" w:rsidR="00014420" w:rsidRPr="00014420" w:rsidRDefault="00014420" w:rsidP="00014420">
      <w:pPr>
        <w:shd w:val="clear" w:color="auto" w:fill="FFFFFF"/>
        <w:spacing w:after="300" w:line="360" w:lineRule="atLeast"/>
        <w:jc w:val="both"/>
        <w:rPr>
          <w:rFonts w:ascii="Open Sans" w:eastAsia="Times New Roman" w:hAnsi="Open Sans" w:cs="Open Sans"/>
          <w:color w:val="333333"/>
          <w:sz w:val="21"/>
          <w:szCs w:val="21"/>
          <w:lang w:eastAsia="es-ES_tradnl"/>
        </w:rPr>
      </w:pPr>
      <w:r w:rsidRPr="00014420">
        <w:rPr>
          <w:rFonts w:ascii="Open Sans" w:eastAsia="Times New Roman" w:hAnsi="Open Sans" w:cs="Open Sans"/>
          <w:color w:val="333333"/>
          <w:sz w:val="21"/>
          <w:szCs w:val="21"/>
          <w:lang w:val="es-ES" w:eastAsia="es-ES_tradnl"/>
        </w:rPr>
        <w:t>Las contrataciones y concesiones de todo tipo cuando su valor estimado no supere el 10 por 100 de los recursos ordinarios del presupuesto ni, en cualquier caso, la cuantía de tres millones de euros, incluidos los de carácter plurianual cuando su duración no sea superior a cuatro años, eventuales prórrogas incluidas siempre que el importe acumulado de todas sus anualidades no supere ni el porcentaje indicado, referido a los recursos ordinarios del presupuesto del primer ejercicio, ni la cuantía señalada.</w:t>
      </w:r>
    </w:p>
    <w:p w14:paraId="4F6F50EB" w14:textId="77777777" w:rsidR="00014420" w:rsidRPr="00014420" w:rsidRDefault="00014420" w:rsidP="00014420">
      <w:pPr>
        <w:shd w:val="clear" w:color="auto" w:fill="FFFFFF"/>
        <w:spacing w:after="210" w:line="270" w:lineRule="atLeast"/>
        <w:outlineLvl w:val="4"/>
        <w:rPr>
          <w:rFonts w:ascii="Open Sans" w:eastAsia="Times New Roman" w:hAnsi="Open Sans" w:cs="Open Sans"/>
          <w:b/>
          <w:bCs/>
          <w:caps/>
          <w:color w:val="337AB7"/>
          <w:sz w:val="24"/>
          <w:szCs w:val="24"/>
          <w:lang w:eastAsia="es-ES_tradnl"/>
        </w:rPr>
      </w:pPr>
      <w:r w:rsidRPr="00014420">
        <w:rPr>
          <w:rFonts w:ascii="Open Sans" w:eastAsia="Times New Roman" w:hAnsi="Open Sans" w:cs="Open Sans"/>
          <w:b/>
          <w:bCs/>
          <w:caps/>
          <w:color w:val="337AB7"/>
          <w:sz w:val="24"/>
          <w:szCs w:val="24"/>
          <w:lang w:eastAsia="es-ES_tradnl"/>
        </w:rPr>
        <w:lastRenderedPageBreak/>
        <w:t>FORMA DE CONTACTO CON LOS ÓRGANOS DE CONTRATACIÓN:</w:t>
      </w:r>
    </w:p>
    <w:p w14:paraId="7C801EBC" w14:textId="77777777" w:rsidR="00014420" w:rsidRPr="00014420" w:rsidRDefault="00014420" w:rsidP="00014420">
      <w:pPr>
        <w:shd w:val="clear" w:color="auto" w:fill="FFFFFF"/>
        <w:spacing w:after="210" w:line="270" w:lineRule="atLeast"/>
        <w:outlineLvl w:val="5"/>
        <w:rPr>
          <w:rFonts w:ascii="Open Sans" w:eastAsia="Times New Roman" w:hAnsi="Open Sans" w:cs="Open Sans"/>
          <w:color w:val="333333"/>
          <w:sz w:val="24"/>
          <w:szCs w:val="24"/>
          <w:lang w:eastAsia="es-ES_tradnl"/>
        </w:rPr>
      </w:pPr>
      <w:r w:rsidRPr="00014420">
        <w:rPr>
          <w:rFonts w:ascii="Open Sans" w:eastAsia="Times New Roman" w:hAnsi="Open Sans" w:cs="Open Sans"/>
          <w:b/>
          <w:bCs/>
          <w:color w:val="333333"/>
          <w:sz w:val="24"/>
          <w:szCs w:val="24"/>
          <w:lang w:eastAsia="es-ES_tradnl"/>
        </w:rPr>
        <w:t>Belinda Pérez Reyes</w:t>
      </w:r>
    </w:p>
    <w:p w14:paraId="5A280A8E" w14:textId="77777777" w:rsidR="00014420" w:rsidRPr="00014420" w:rsidRDefault="00014420" w:rsidP="00014420">
      <w:pPr>
        <w:shd w:val="clear" w:color="auto" w:fill="FFFFFF"/>
        <w:spacing w:after="210" w:line="270" w:lineRule="atLeast"/>
        <w:outlineLvl w:val="5"/>
        <w:rPr>
          <w:rFonts w:ascii="Open Sans" w:eastAsia="Times New Roman" w:hAnsi="Open Sans" w:cs="Open Sans"/>
          <w:color w:val="333333"/>
          <w:sz w:val="24"/>
          <w:szCs w:val="24"/>
          <w:lang w:eastAsia="es-ES_tradnl"/>
        </w:rPr>
      </w:pPr>
      <w:r w:rsidRPr="00014420">
        <w:rPr>
          <w:rFonts w:ascii="Open Sans" w:eastAsia="Times New Roman" w:hAnsi="Open Sans" w:cs="Open Sans"/>
          <w:color w:val="333333"/>
          <w:sz w:val="24"/>
          <w:szCs w:val="24"/>
          <w:lang w:eastAsia="es-ES_tradnl"/>
        </w:rPr>
        <w:t> 922 013 101</w:t>
      </w:r>
    </w:p>
    <w:p w14:paraId="4D29D7F4" w14:textId="77777777" w:rsidR="00014420" w:rsidRPr="00014420" w:rsidRDefault="00014420" w:rsidP="00014420">
      <w:pPr>
        <w:shd w:val="clear" w:color="auto" w:fill="FFFFFF"/>
        <w:spacing w:after="210" w:line="270" w:lineRule="atLeast"/>
        <w:outlineLvl w:val="5"/>
        <w:rPr>
          <w:rFonts w:ascii="Open Sans" w:eastAsia="Times New Roman" w:hAnsi="Open Sans" w:cs="Open Sans"/>
          <w:color w:val="333333"/>
          <w:sz w:val="24"/>
          <w:szCs w:val="24"/>
          <w:lang w:eastAsia="es-ES_tradnl"/>
        </w:rPr>
      </w:pPr>
      <w:r w:rsidRPr="00014420">
        <w:rPr>
          <w:rFonts w:ascii="Open Sans" w:eastAsia="Times New Roman" w:hAnsi="Open Sans" w:cs="Open Sans"/>
          <w:color w:val="333333"/>
          <w:sz w:val="24"/>
          <w:szCs w:val="24"/>
          <w:lang w:eastAsia="es-ES_tradnl"/>
        </w:rPr>
        <w:t> información@urbanismosantacruz.es</w:t>
      </w:r>
    </w:p>
    <w:p w14:paraId="67337D4D" w14:textId="77777777" w:rsidR="00014420" w:rsidRPr="00014420" w:rsidRDefault="00014420" w:rsidP="00014420"/>
    <w:p w14:paraId="534C795B" w14:textId="77777777" w:rsidR="00014420" w:rsidRPr="00014420" w:rsidRDefault="00014420" w:rsidP="00014420"/>
    <w:sectPr w:rsidR="00014420" w:rsidRPr="000144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othic Std B">
    <w:panose1 w:val="020B0800000000000000"/>
    <w:charset w:val="80"/>
    <w:family w:val="swiss"/>
    <w:notTrueType/>
    <w:pitch w:val="variable"/>
    <w:sig w:usb0="00000203" w:usb1="29D72C10" w:usb2="00000010" w:usb3="00000000" w:csb0="002A0005"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20"/>
    <w:rsid w:val="0001442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C07B5"/>
  <w15:chartTrackingRefBased/>
  <w15:docId w15:val="{D67BC8DB-574A-4D8C-979B-631BF60E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014420"/>
    <w:pPr>
      <w:spacing w:before="100" w:beforeAutospacing="1" w:after="100" w:afterAutospacing="1" w:line="240" w:lineRule="auto"/>
      <w:outlineLvl w:val="3"/>
    </w:pPr>
    <w:rPr>
      <w:rFonts w:ascii="Times New Roman" w:eastAsia="Times New Roman" w:hAnsi="Times New Roman" w:cs="Times New Roman"/>
      <w:b/>
      <w:bCs/>
      <w:sz w:val="24"/>
      <w:szCs w:val="24"/>
      <w:lang w:eastAsia="es-ES_tradnl"/>
    </w:rPr>
  </w:style>
  <w:style w:type="paragraph" w:styleId="Ttulo5">
    <w:name w:val="heading 5"/>
    <w:basedOn w:val="Normal"/>
    <w:link w:val="Ttulo5Car"/>
    <w:uiPriority w:val="9"/>
    <w:qFormat/>
    <w:rsid w:val="00014420"/>
    <w:pPr>
      <w:spacing w:before="100" w:beforeAutospacing="1" w:after="100" w:afterAutospacing="1" w:line="240" w:lineRule="auto"/>
      <w:outlineLvl w:val="4"/>
    </w:pPr>
    <w:rPr>
      <w:rFonts w:ascii="Times New Roman" w:eastAsia="Times New Roman" w:hAnsi="Times New Roman" w:cs="Times New Roman"/>
      <w:b/>
      <w:bCs/>
      <w:sz w:val="20"/>
      <w:szCs w:val="20"/>
      <w:lang w:eastAsia="es-ES_tradnl"/>
    </w:rPr>
  </w:style>
  <w:style w:type="paragraph" w:styleId="Ttulo6">
    <w:name w:val="heading 6"/>
    <w:basedOn w:val="Normal"/>
    <w:link w:val="Ttulo6Car"/>
    <w:uiPriority w:val="9"/>
    <w:qFormat/>
    <w:rsid w:val="00014420"/>
    <w:pPr>
      <w:spacing w:before="100" w:beforeAutospacing="1" w:after="100" w:afterAutospacing="1" w:line="240" w:lineRule="auto"/>
      <w:outlineLvl w:val="5"/>
    </w:pPr>
    <w:rPr>
      <w:rFonts w:ascii="Times New Roman" w:eastAsia="Times New Roman" w:hAnsi="Times New Roman" w:cs="Times New Roman"/>
      <w:b/>
      <w:bCs/>
      <w:sz w:val="15"/>
      <w:szCs w:val="15"/>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0144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4420"/>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014420"/>
    <w:rPr>
      <w:rFonts w:ascii="Times New Roman" w:eastAsia="Times New Roman" w:hAnsi="Times New Roman" w:cs="Times New Roman"/>
      <w:b/>
      <w:bCs/>
      <w:sz w:val="24"/>
      <w:szCs w:val="24"/>
      <w:lang w:eastAsia="es-ES_tradnl"/>
    </w:rPr>
  </w:style>
  <w:style w:type="character" w:customStyle="1" w:styleId="Ttulo5Car">
    <w:name w:val="Título 5 Car"/>
    <w:basedOn w:val="Fuentedeprrafopredeter"/>
    <w:link w:val="Ttulo5"/>
    <w:uiPriority w:val="9"/>
    <w:rsid w:val="00014420"/>
    <w:rPr>
      <w:rFonts w:ascii="Times New Roman" w:eastAsia="Times New Roman" w:hAnsi="Times New Roman" w:cs="Times New Roman"/>
      <w:b/>
      <w:bCs/>
      <w:sz w:val="20"/>
      <w:szCs w:val="20"/>
      <w:lang w:eastAsia="es-ES_tradnl"/>
    </w:rPr>
  </w:style>
  <w:style w:type="character" w:customStyle="1" w:styleId="Ttulo6Car">
    <w:name w:val="Título 6 Car"/>
    <w:basedOn w:val="Fuentedeprrafopredeter"/>
    <w:link w:val="Ttulo6"/>
    <w:uiPriority w:val="9"/>
    <w:rsid w:val="00014420"/>
    <w:rPr>
      <w:rFonts w:ascii="Times New Roman" w:eastAsia="Times New Roman" w:hAnsi="Times New Roman" w:cs="Times New Roman"/>
      <w:b/>
      <w:bCs/>
      <w:sz w:val="15"/>
      <w:szCs w:val="15"/>
      <w:lang w:eastAsia="es-ES_tradnl"/>
    </w:rPr>
  </w:style>
  <w:style w:type="paragraph" w:customStyle="1" w:styleId="text-align-justify">
    <w:name w:val="text-align-justify"/>
    <w:basedOn w:val="Normal"/>
    <w:rsid w:val="0001442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nfasis">
    <w:name w:val="Emphasis"/>
    <w:basedOn w:val="Fuentedeprrafopredeter"/>
    <w:uiPriority w:val="20"/>
    <w:qFormat/>
    <w:rsid w:val="00014420"/>
    <w:rPr>
      <w:i/>
      <w:iCs/>
    </w:rPr>
  </w:style>
  <w:style w:type="character" w:styleId="Textoennegrita">
    <w:name w:val="Strong"/>
    <w:basedOn w:val="Fuentedeprrafopredeter"/>
    <w:uiPriority w:val="22"/>
    <w:qFormat/>
    <w:rsid w:val="000144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8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298</Words>
  <Characters>1641</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Heylen Campos</dc:creator>
  <cp:keywords/>
  <dc:description/>
  <cp:lastModifiedBy>David Heylen Campos</cp:lastModifiedBy>
  <cp:revision>1</cp:revision>
  <dcterms:created xsi:type="dcterms:W3CDTF">2022-06-02T09:00:00Z</dcterms:created>
  <dcterms:modified xsi:type="dcterms:W3CDTF">2022-06-02T09:03:00Z</dcterms:modified>
</cp:coreProperties>
</file>