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D34C" w14:textId="77777777" w:rsidR="009A3F7B" w:rsidRPr="009A3F7B" w:rsidRDefault="009A3F7B" w:rsidP="009A3F7B">
      <w:pPr>
        <w:spacing w:before="100" w:beforeAutospacing="1" w:after="100" w:afterAutospacing="1" w:line="240" w:lineRule="auto"/>
        <w:jc w:val="right"/>
        <w:outlineLvl w:val="3"/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Para su Información:</w:t>
      </w: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br/>
      </w:r>
      <w:r w:rsidRPr="009A3F7B">
        <w:rPr>
          <w:rFonts w:eastAsia="Times New Roman" w:cstheme="minorHAnsi"/>
          <w:b/>
          <w:bCs/>
          <w:i/>
          <w:iCs/>
          <w:kern w:val="0"/>
          <w:sz w:val="24"/>
          <w:szCs w:val="24"/>
          <w:vertAlign w:val="superscript"/>
          <w:lang w:eastAsia="es-ES_tradnl"/>
          <w14:ligatures w14:val="none"/>
        </w:rPr>
        <w:t>Información actualizada septiembre 2023</w:t>
      </w:r>
    </w:p>
    <w:p w14:paraId="444CE606" w14:textId="77777777" w:rsidR="009A3F7B" w:rsidRPr="009A3F7B" w:rsidRDefault="009A3F7B" w:rsidP="009A3F7B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Ejercicio 2022/23</w:t>
      </w:r>
    </w:p>
    <w:p w14:paraId="55213EBB" w14:textId="4AEB8B91" w:rsidR="009A3F7B" w:rsidRPr="009A3F7B" w:rsidRDefault="009A3F7B" w:rsidP="009A3F7B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De conformidad con los Estatutos de la Gerencia Municipal de Urbanismo de Santa Cruz de Tenerife, en el 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artículo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 4.C y en concreto el 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artículo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 20 se expone:</w:t>
      </w:r>
    </w:p>
    <w:p w14:paraId="777081DE" w14:textId="77777777" w:rsidR="009A3F7B" w:rsidRPr="009A3F7B" w:rsidRDefault="009A3F7B" w:rsidP="009A3F7B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Artículo 20.- Patrimonio de la Gerencia</w:t>
      </w:r>
    </w:p>
    <w:p w14:paraId="32331E1B" w14:textId="77777777" w:rsidR="009A3F7B" w:rsidRPr="009A3F7B" w:rsidRDefault="009A3F7B" w:rsidP="009A3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Integran el patrimonio de la Gerencia Municipal de Urbanismo:</w:t>
      </w:r>
    </w:p>
    <w:p w14:paraId="6E16C068" w14:textId="77777777" w:rsidR="009A3F7B" w:rsidRPr="009A3F7B" w:rsidRDefault="009A3F7B" w:rsidP="009A3F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Los bienes, derechos, acciones, productos y rentas que el Ayuntamiento le transfiera para el ejercicio de sus funciones o se adquieran al afecto.</w:t>
      </w:r>
    </w:p>
    <w:p w14:paraId="79E0445F" w14:textId="77777777" w:rsidR="009A3F7B" w:rsidRPr="009A3F7B" w:rsidRDefault="009A3F7B" w:rsidP="009A3F7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Los demás bienes que el Ayuntamiento de Santa Cruz de Tenerife le adscriba para su gestión o administración.</w:t>
      </w:r>
    </w:p>
    <w:p w14:paraId="2BABF49D" w14:textId="77777777" w:rsidR="009A3F7B" w:rsidRPr="009A3F7B" w:rsidRDefault="009A3F7B" w:rsidP="009A3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A la Gerencia Municipal de Urbanismo le corresponderá la gestión del patrimonio público del suelo en los términos previstos en el Decreto Legislativo 1/2000, de 8 de mayo, por el que se aprueba el Texto Refundido de las Leyes de Ordenación del Territorio de Canarias y de Espacio Naturales de Canarias.</w:t>
      </w:r>
    </w:p>
    <w:p w14:paraId="7ED3E780" w14:textId="77777777" w:rsidR="009A3F7B" w:rsidRPr="009A3F7B" w:rsidRDefault="009A3F7B" w:rsidP="009A3F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La Gerencia realizará y mantendrá actualizado permanentemente un inventario de los elementos integrantes de su patrimonio, en el que se hará constar su naturaleza, situación jurídica, valoración actualizada anualmente y destino. Su inventario de bienes y derechos se remitirá anualmente al Área de Gobierno competente en materia de Economía y Hacienda del Excmo. Ayuntamiento para su integración en el inventario de Bienes del Ayuntamiento.</w:t>
      </w:r>
    </w:p>
    <w:p w14:paraId="226509BF" w14:textId="77777777" w:rsidR="009A3F7B" w:rsidRPr="009A3F7B" w:rsidRDefault="009A3F7B" w:rsidP="009A3F7B">
      <w:pPr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</w:pP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Lo que viene a indicar que a este organismo autónomo únicamente le corresponden funciones de gestión del patrimonio público del suelo, siendo el administrador de </w:t>
      </w:r>
      <w:proofErr w:type="gramStart"/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los mismos</w:t>
      </w:r>
      <w:proofErr w:type="gramEnd"/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 el Excmo. Ayuntamiento de Santa Cruz de Tenerife, </w:t>
      </w: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y la Gerencia Municipal de Urbanismo sus gestores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. Por lo tanto, los únicos bienes inmuebles que posee la GMU son en administración fiduciaria (</w:t>
      </w:r>
      <w:r w:rsidRPr="009A3F7B">
        <w:rPr>
          <w:rFonts w:eastAsia="Times New Roman" w:cstheme="minorHAnsi"/>
          <w:i/>
          <w:iCs/>
          <w:kern w:val="0"/>
          <w:sz w:val="24"/>
          <w:szCs w:val="24"/>
          <w:lang w:eastAsia="es-ES_tradnl"/>
          <w14:ligatures w14:val="none"/>
        </w:rPr>
        <w:t>pertenecientes a Patrimonio Público del Suelo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 xml:space="preserve">) y </w:t>
      </w:r>
      <w:r w:rsidRPr="009A3F7B">
        <w:rPr>
          <w:rFonts w:eastAsia="Times New Roman" w:cstheme="minorHAnsi"/>
          <w:b/>
          <w:bCs/>
          <w:kern w:val="0"/>
          <w:sz w:val="24"/>
          <w:szCs w:val="24"/>
          <w:lang w:eastAsia="es-ES_tradnl"/>
          <w14:ligatures w14:val="none"/>
        </w:rPr>
        <w:t>no en propiedad.</w:t>
      </w:r>
      <w:r w:rsidRPr="009A3F7B">
        <w:rPr>
          <w:rFonts w:eastAsia="Times New Roman" w:cstheme="minorHAnsi"/>
          <w:kern w:val="0"/>
          <w:sz w:val="24"/>
          <w:szCs w:val="24"/>
          <w:lang w:eastAsia="es-ES_tradnl"/>
          <w14:ligatures w14:val="none"/>
        </w:rPr>
        <w:t> </w:t>
      </w:r>
    </w:p>
    <w:p w14:paraId="51A1BDD7" w14:textId="77777777" w:rsidR="009A3F7B" w:rsidRDefault="009A3F7B"/>
    <w:sectPr w:rsidR="009A3F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07F8"/>
    <w:multiLevelType w:val="multilevel"/>
    <w:tmpl w:val="F084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08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7B"/>
    <w:rsid w:val="009A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3FF5"/>
  <w15:chartTrackingRefBased/>
  <w15:docId w15:val="{F8430748-8D86-40C0-A96B-CAD77D8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A3F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A3F7B"/>
    <w:rPr>
      <w:rFonts w:ascii="Times New Roman" w:eastAsia="Times New Roman" w:hAnsi="Times New Roman" w:cs="Times New Roman"/>
      <w:b/>
      <w:bCs/>
      <w:kern w:val="0"/>
      <w:sz w:val="24"/>
      <w:szCs w:val="24"/>
      <w:lang w:eastAsia="es-ES_tradnl"/>
      <w14:ligatures w14:val="none"/>
    </w:rPr>
  </w:style>
  <w:style w:type="character" w:styleId="nfasis">
    <w:name w:val="Emphasis"/>
    <w:basedOn w:val="Fuentedeprrafopredeter"/>
    <w:uiPriority w:val="20"/>
    <w:qFormat/>
    <w:rsid w:val="009A3F7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9A3F7B"/>
    <w:rPr>
      <w:b/>
      <w:bCs/>
    </w:rPr>
  </w:style>
  <w:style w:type="paragraph" w:customStyle="1" w:styleId="text-align-justify">
    <w:name w:val="text-align-justify"/>
    <w:basedOn w:val="Normal"/>
    <w:rsid w:val="009A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2023-10-16T09:44:00Z</dcterms:created>
  <dcterms:modified xsi:type="dcterms:W3CDTF">2023-10-16T09:45:00Z</dcterms:modified>
</cp:coreProperties>
</file>