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ED34C" w14:textId="77777777" w:rsidR="009A3F7B" w:rsidRPr="009A3F7B" w:rsidRDefault="009A3F7B" w:rsidP="009A3F7B">
      <w:pPr>
        <w:spacing w:before="100" w:beforeAutospacing="1" w:after="100" w:afterAutospacing="1" w:line="240" w:lineRule="auto"/>
        <w:jc w:val="right"/>
        <w:outlineLvl w:val="3"/>
        <w:rPr>
          <w:rFonts w:eastAsia="Times New Roman" w:cstheme="minorHAnsi"/>
          <w:b/>
          <w:bCs/>
          <w:kern w:val="0"/>
          <w:sz w:val="24"/>
          <w:szCs w:val="24"/>
          <w:lang w:eastAsia="es-ES_tradnl"/>
          <w14:ligatures w14:val="none"/>
        </w:rPr>
      </w:pPr>
      <w:r w:rsidRPr="009A3F7B">
        <w:rPr>
          <w:rFonts w:eastAsia="Times New Roman" w:cstheme="minorHAnsi"/>
          <w:b/>
          <w:bCs/>
          <w:kern w:val="0"/>
          <w:sz w:val="24"/>
          <w:szCs w:val="24"/>
          <w:lang w:eastAsia="es-ES_tradnl"/>
          <w14:ligatures w14:val="none"/>
        </w:rPr>
        <w:t>Para su Información:</w:t>
      </w:r>
      <w:r w:rsidRPr="009A3F7B">
        <w:rPr>
          <w:rFonts w:eastAsia="Times New Roman" w:cstheme="minorHAnsi"/>
          <w:b/>
          <w:bCs/>
          <w:kern w:val="0"/>
          <w:sz w:val="24"/>
          <w:szCs w:val="24"/>
          <w:lang w:eastAsia="es-ES_tradnl"/>
          <w14:ligatures w14:val="none"/>
        </w:rPr>
        <w:br/>
      </w:r>
      <w:r w:rsidRPr="009A3F7B">
        <w:rPr>
          <w:rFonts w:eastAsia="Times New Roman" w:cstheme="minorHAnsi"/>
          <w:b/>
          <w:bCs/>
          <w:i/>
          <w:iCs/>
          <w:kern w:val="0"/>
          <w:sz w:val="24"/>
          <w:szCs w:val="24"/>
          <w:vertAlign w:val="superscript"/>
          <w:lang w:eastAsia="es-ES_tradnl"/>
          <w14:ligatures w14:val="none"/>
        </w:rPr>
        <w:t>Información actualizada septiembre 2023</w:t>
      </w:r>
    </w:p>
    <w:p w14:paraId="444CE606" w14:textId="77777777" w:rsidR="009A3F7B" w:rsidRPr="009A3F7B" w:rsidRDefault="009A3F7B" w:rsidP="009A3F7B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s-ES_tradnl"/>
          <w14:ligatures w14:val="none"/>
        </w:rPr>
      </w:pPr>
      <w:r w:rsidRPr="009A3F7B">
        <w:rPr>
          <w:rFonts w:eastAsia="Times New Roman" w:cstheme="minorHAnsi"/>
          <w:b/>
          <w:bCs/>
          <w:kern w:val="0"/>
          <w:sz w:val="24"/>
          <w:szCs w:val="24"/>
          <w:lang w:eastAsia="es-ES_tradnl"/>
          <w14:ligatures w14:val="none"/>
        </w:rPr>
        <w:t>Ejercicio 2022/23</w:t>
      </w:r>
    </w:p>
    <w:p w14:paraId="55213EBB" w14:textId="4AEB8B91" w:rsidR="009A3F7B" w:rsidRPr="009A3F7B" w:rsidRDefault="009A3F7B" w:rsidP="009A3F7B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s-ES_tradnl"/>
          <w14:ligatures w14:val="none"/>
        </w:rPr>
      </w:pPr>
      <w:r w:rsidRPr="009A3F7B">
        <w:rPr>
          <w:rFonts w:eastAsia="Times New Roman" w:cstheme="minorHAnsi"/>
          <w:kern w:val="0"/>
          <w:sz w:val="24"/>
          <w:szCs w:val="24"/>
          <w:lang w:eastAsia="es-ES_tradnl"/>
          <w14:ligatures w14:val="none"/>
        </w:rPr>
        <w:t xml:space="preserve">De conformidad con los Estatutos de la Gerencia Municipal de Urbanismo de Santa Cruz de Tenerife, en el </w:t>
      </w:r>
      <w:r w:rsidRPr="009A3F7B">
        <w:rPr>
          <w:rFonts w:eastAsia="Times New Roman" w:cstheme="minorHAnsi"/>
          <w:kern w:val="0"/>
          <w:sz w:val="24"/>
          <w:szCs w:val="24"/>
          <w:lang w:eastAsia="es-ES_tradnl"/>
          <w14:ligatures w14:val="none"/>
        </w:rPr>
        <w:t>artículo</w:t>
      </w:r>
      <w:r w:rsidRPr="009A3F7B">
        <w:rPr>
          <w:rFonts w:eastAsia="Times New Roman" w:cstheme="minorHAnsi"/>
          <w:kern w:val="0"/>
          <w:sz w:val="24"/>
          <w:szCs w:val="24"/>
          <w:lang w:eastAsia="es-ES_tradnl"/>
          <w14:ligatures w14:val="none"/>
        </w:rPr>
        <w:t xml:space="preserve"> 4.C y en concreto el </w:t>
      </w:r>
      <w:r w:rsidRPr="009A3F7B">
        <w:rPr>
          <w:rFonts w:eastAsia="Times New Roman" w:cstheme="minorHAnsi"/>
          <w:kern w:val="0"/>
          <w:sz w:val="24"/>
          <w:szCs w:val="24"/>
          <w:lang w:eastAsia="es-ES_tradnl"/>
          <w14:ligatures w14:val="none"/>
        </w:rPr>
        <w:t>artículo</w:t>
      </w:r>
      <w:r w:rsidRPr="009A3F7B">
        <w:rPr>
          <w:rFonts w:eastAsia="Times New Roman" w:cstheme="minorHAnsi"/>
          <w:kern w:val="0"/>
          <w:sz w:val="24"/>
          <w:szCs w:val="24"/>
          <w:lang w:eastAsia="es-ES_tradnl"/>
          <w14:ligatures w14:val="none"/>
        </w:rPr>
        <w:t xml:space="preserve"> 20 se expone:</w:t>
      </w:r>
    </w:p>
    <w:p w14:paraId="777081DE" w14:textId="77777777" w:rsidR="009A3F7B" w:rsidRPr="009A3F7B" w:rsidRDefault="009A3F7B" w:rsidP="009A3F7B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s-ES_tradnl"/>
          <w14:ligatures w14:val="none"/>
        </w:rPr>
      </w:pPr>
      <w:r w:rsidRPr="009A3F7B">
        <w:rPr>
          <w:rFonts w:eastAsia="Times New Roman" w:cstheme="minorHAnsi"/>
          <w:b/>
          <w:bCs/>
          <w:kern w:val="0"/>
          <w:sz w:val="24"/>
          <w:szCs w:val="24"/>
          <w:lang w:eastAsia="es-ES_tradnl"/>
          <w14:ligatures w14:val="none"/>
        </w:rPr>
        <w:t>Artículo 20.- Patrimonio de la Gerencia</w:t>
      </w:r>
    </w:p>
    <w:p w14:paraId="32331E1B" w14:textId="77777777" w:rsidR="009A3F7B" w:rsidRPr="009A3F7B" w:rsidRDefault="009A3F7B" w:rsidP="009A3F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s-ES_tradnl"/>
          <w14:ligatures w14:val="none"/>
        </w:rPr>
      </w:pPr>
      <w:r w:rsidRPr="009A3F7B">
        <w:rPr>
          <w:rFonts w:eastAsia="Times New Roman" w:cstheme="minorHAnsi"/>
          <w:kern w:val="0"/>
          <w:sz w:val="24"/>
          <w:szCs w:val="24"/>
          <w:lang w:eastAsia="es-ES_tradnl"/>
          <w14:ligatures w14:val="none"/>
        </w:rPr>
        <w:t>Integran el patrimonio de la Gerencia Municipal de Urbanismo:</w:t>
      </w:r>
    </w:p>
    <w:p w14:paraId="6E16C068" w14:textId="77777777" w:rsidR="009A3F7B" w:rsidRPr="009A3F7B" w:rsidRDefault="009A3F7B" w:rsidP="009A3F7B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s-ES_tradnl"/>
          <w14:ligatures w14:val="none"/>
        </w:rPr>
      </w:pPr>
      <w:r w:rsidRPr="009A3F7B">
        <w:rPr>
          <w:rFonts w:eastAsia="Times New Roman" w:cstheme="minorHAnsi"/>
          <w:kern w:val="0"/>
          <w:sz w:val="24"/>
          <w:szCs w:val="24"/>
          <w:lang w:eastAsia="es-ES_tradnl"/>
          <w14:ligatures w14:val="none"/>
        </w:rPr>
        <w:t>Los bienes, derechos, acciones, productos y rentas que el Ayuntamiento le transfiera para el ejercicio de sus funciones o se adquieran al afecto.</w:t>
      </w:r>
    </w:p>
    <w:p w14:paraId="79E0445F" w14:textId="77777777" w:rsidR="009A3F7B" w:rsidRPr="009A3F7B" w:rsidRDefault="009A3F7B" w:rsidP="009A3F7B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s-ES_tradnl"/>
          <w14:ligatures w14:val="none"/>
        </w:rPr>
      </w:pPr>
      <w:r w:rsidRPr="009A3F7B">
        <w:rPr>
          <w:rFonts w:eastAsia="Times New Roman" w:cstheme="minorHAnsi"/>
          <w:kern w:val="0"/>
          <w:sz w:val="24"/>
          <w:szCs w:val="24"/>
          <w:lang w:eastAsia="es-ES_tradnl"/>
          <w14:ligatures w14:val="none"/>
        </w:rPr>
        <w:t>Los demás bienes que el Ayuntamiento de Santa Cruz de Tenerife le adscriba para su gestión o administración.</w:t>
      </w:r>
    </w:p>
    <w:p w14:paraId="2BABF49D" w14:textId="77777777" w:rsidR="009A3F7B" w:rsidRPr="009A3F7B" w:rsidRDefault="009A3F7B" w:rsidP="009A3F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s-ES_tradnl"/>
          <w14:ligatures w14:val="none"/>
        </w:rPr>
      </w:pPr>
      <w:r w:rsidRPr="009A3F7B">
        <w:rPr>
          <w:rFonts w:eastAsia="Times New Roman" w:cstheme="minorHAnsi"/>
          <w:kern w:val="0"/>
          <w:sz w:val="24"/>
          <w:szCs w:val="24"/>
          <w:lang w:eastAsia="es-ES_tradnl"/>
          <w14:ligatures w14:val="none"/>
        </w:rPr>
        <w:t>A la Gerencia Municipal de Urbanismo le corresponderá la gestión del patrimonio público del suelo en los términos previstos en el Decreto Legislativo 1/2000, de 8 de mayo, por el que se aprueba el Texto Refundido de las Leyes de Ordenación del Territorio de Canarias y de Espacio Naturales de Canarias.</w:t>
      </w:r>
    </w:p>
    <w:p w14:paraId="7ED3E780" w14:textId="77777777" w:rsidR="009A3F7B" w:rsidRPr="009A3F7B" w:rsidRDefault="009A3F7B" w:rsidP="009A3F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s-ES_tradnl"/>
          <w14:ligatures w14:val="none"/>
        </w:rPr>
      </w:pPr>
      <w:r w:rsidRPr="009A3F7B">
        <w:rPr>
          <w:rFonts w:eastAsia="Times New Roman" w:cstheme="minorHAnsi"/>
          <w:kern w:val="0"/>
          <w:sz w:val="24"/>
          <w:szCs w:val="24"/>
          <w:lang w:eastAsia="es-ES_tradnl"/>
          <w14:ligatures w14:val="none"/>
        </w:rPr>
        <w:t>La Gerencia realizará y mantendrá actualizado permanentemente un inventario de los elementos integrantes de su patrimonio, en el que se hará constar su naturaleza, situación jurídica, valoración actualizada anualmente y destino. Su inventario de bienes y derechos se remitirá anualmente al Área de Gobierno competente en materia de Economía y Hacienda del Excmo. Ayuntamiento para su integración en el inventario de Bienes del Ayuntamiento.</w:t>
      </w:r>
    </w:p>
    <w:p w14:paraId="226509BF" w14:textId="77777777" w:rsidR="009A3F7B" w:rsidRPr="009A3F7B" w:rsidRDefault="009A3F7B" w:rsidP="009A3F7B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s-ES_tradnl"/>
          <w14:ligatures w14:val="none"/>
        </w:rPr>
      </w:pPr>
      <w:r w:rsidRPr="009A3F7B">
        <w:rPr>
          <w:rFonts w:eastAsia="Times New Roman" w:cstheme="minorHAnsi"/>
          <w:kern w:val="0"/>
          <w:sz w:val="24"/>
          <w:szCs w:val="24"/>
          <w:lang w:eastAsia="es-ES_tradnl"/>
          <w14:ligatures w14:val="none"/>
        </w:rPr>
        <w:t xml:space="preserve">Lo que viene a indicar que a este organismo autónomo únicamente le corresponden funciones de gestión del patrimonio público del suelo, siendo el administrador de </w:t>
      </w:r>
      <w:proofErr w:type="gramStart"/>
      <w:r w:rsidRPr="009A3F7B">
        <w:rPr>
          <w:rFonts w:eastAsia="Times New Roman" w:cstheme="minorHAnsi"/>
          <w:kern w:val="0"/>
          <w:sz w:val="24"/>
          <w:szCs w:val="24"/>
          <w:lang w:eastAsia="es-ES_tradnl"/>
          <w14:ligatures w14:val="none"/>
        </w:rPr>
        <w:t>los mismos</w:t>
      </w:r>
      <w:proofErr w:type="gramEnd"/>
      <w:r w:rsidRPr="009A3F7B">
        <w:rPr>
          <w:rFonts w:eastAsia="Times New Roman" w:cstheme="minorHAnsi"/>
          <w:kern w:val="0"/>
          <w:sz w:val="24"/>
          <w:szCs w:val="24"/>
          <w:lang w:eastAsia="es-ES_tradnl"/>
          <w14:ligatures w14:val="none"/>
        </w:rPr>
        <w:t xml:space="preserve"> el Excmo. Ayuntamiento de Santa Cruz de Tenerife, </w:t>
      </w:r>
      <w:r w:rsidRPr="009A3F7B">
        <w:rPr>
          <w:rFonts w:eastAsia="Times New Roman" w:cstheme="minorHAnsi"/>
          <w:b/>
          <w:bCs/>
          <w:kern w:val="0"/>
          <w:sz w:val="24"/>
          <w:szCs w:val="24"/>
          <w:lang w:eastAsia="es-ES_tradnl"/>
          <w14:ligatures w14:val="none"/>
        </w:rPr>
        <w:t>y la Gerencia Municipal de Urbanismo sus gestores</w:t>
      </w:r>
      <w:r w:rsidRPr="009A3F7B">
        <w:rPr>
          <w:rFonts w:eastAsia="Times New Roman" w:cstheme="minorHAnsi"/>
          <w:kern w:val="0"/>
          <w:sz w:val="24"/>
          <w:szCs w:val="24"/>
          <w:lang w:eastAsia="es-ES_tradnl"/>
          <w14:ligatures w14:val="none"/>
        </w:rPr>
        <w:t>. Por lo tanto, los únicos bienes inmuebles que posee la GMU son en administración fiduciaria (</w:t>
      </w:r>
      <w:r w:rsidRPr="009A3F7B">
        <w:rPr>
          <w:rFonts w:eastAsia="Times New Roman" w:cstheme="minorHAnsi"/>
          <w:i/>
          <w:iCs/>
          <w:kern w:val="0"/>
          <w:sz w:val="24"/>
          <w:szCs w:val="24"/>
          <w:lang w:eastAsia="es-ES_tradnl"/>
          <w14:ligatures w14:val="none"/>
        </w:rPr>
        <w:t>pertenecientes a Patrimonio Público del Suelo</w:t>
      </w:r>
      <w:r w:rsidRPr="009A3F7B">
        <w:rPr>
          <w:rFonts w:eastAsia="Times New Roman" w:cstheme="minorHAnsi"/>
          <w:kern w:val="0"/>
          <w:sz w:val="24"/>
          <w:szCs w:val="24"/>
          <w:lang w:eastAsia="es-ES_tradnl"/>
          <w14:ligatures w14:val="none"/>
        </w:rPr>
        <w:t xml:space="preserve">) y </w:t>
      </w:r>
      <w:r w:rsidRPr="009A3F7B">
        <w:rPr>
          <w:rFonts w:eastAsia="Times New Roman" w:cstheme="minorHAnsi"/>
          <w:b/>
          <w:bCs/>
          <w:kern w:val="0"/>
          <w:sz w:val="24"/>
          <w:szCs w:val="24"/>
          <w:lang w:eastAsia="es-ES_tradnl"/>
          <w14:ligatures w14:val="none"/>
        </w:rPr>
        <w:t>no en propiedad.</w:t>
      </w:r>
      <w:r w:rsidRPr="009A3F7B">
        <w:rPr>
          <w:rFonts w:eastAsia="Times New Roman" w:cstheme="minorHAnsi"/>
          <w:kern w:val="0"/>
          <w:sz w:val="24"/>
          <w:szCs w:val="24"/>
          <w:lang w:eastAsia="es-ES_tradnl"/>
          <w14:ligatures w14:val="none"/>
        </w:rPr>
        <w:t> </w:t>
      </w:r>
    </w:p>
    <w:p w14:paraId="51A1BDD7" w14:textId="77777777" w:rsidR="009A3F7B" w:rsidRDefault="009A3F7B"/>
    <w:sectPr w:rsidR="009A3F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807F8"/>
    <w:multiLevelType w:val="multilevel"/>
    <w:tmpl w:val="F084A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0082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F7B"/>
    <w:rsid w:val="009A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63FF5"/>
  <w15:chartTrackingRefBased/>
  <w15:docId w15:val="{F8430748-8D86-40C0-A96B-CAD77D83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_trad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9A3F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9A3F7B"/>
    <w:rPr>
      <w:rFonts w:ascii="Times New Roman" w:eastAsia="Times New Roman" w:hAnsi="Times New Roman" w:cs="Times New Roman"/>
      <w:b/>
      <w:bCs/>
      <w:kern w:val="0"/>
      <w:sz w:val="24"/>
      <w:szCs w:val="24"/>
      <w:lang w:eastAsia="es-ES_tradnl"/>
      <w14:ligatures w14:val="none"/>
    </w:rPr>
  </w:style>
  <w:style w:type="character" w:styleId="nfasis">
    <w:name w:val="Emphasis"/>
    <w:basedOn w:val="Fuentedeprrafopredeter"/>
    <w:uiPriority w:val="20"/>
    <w:qFormat/>
    <w:rsid w:val="009A3F7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A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_tradnl"/>
      <w14:ligatures w14:val="none"/>
    </w:rPr>
  </w:style>
  <w:style w:type="character" w:styleId="Textoennegrita">
    <w:name w:val="Strong"/>
    <w:basedOn w:val="Fuentedeprrafopredeter"/>
    <w:uiPriority w:val="22"/>
    <w:qFormat/>
    <w:rsid w:val="009A3F7B"/>
    <w:rPr>
      <w:b/>
      <w:bCs/>
    </w:rPr>
  </w:style>
  <w:style w:type="paragraph" w:customStyle="1" w:styleId="text-align-justify">
    <w:name w:val="text-align-justify"/>
    <w:basedOn w:val="Normal"/>
    <w:rsid w:val="009A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Heylen Campos</dc:creator>
  <cp:keywords/>
  <dc:description/>
  <cp:lastModifiedBy>David Heylen Campos</cp:lastModifiedBy>
  <cp:revision>1</cp:revision>
  <dcterms:created xsi:type="dcterms:W3CDTF">2023-10-16T09:44:00Z</dcterms:created>
  <dcterms:modified xsi:type="dcterms:W3CDTF">2023-10-16T09:45:00Z</dcterms:modified>
</cp:coreProperties>
</file>