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8A7C" w14:textId="4269A6F0" w:rsidR="005725AE" w:rsidRDefault="005725AE" w:rsidP="005725AE">
      <w:pPr>
        <w:pStyle w:val="Ttulo"/>
        <w:jc w:val="right"/>
        <w:rPr>
          <w:rStyle w:val="Fuentedeprrafopredeter1"/>
          <w:b/>
          <w:bCs/>
        </w:rPr>
      </w:pPr>
      <w:r>
        <w:rPr>
          <w:rStyle w:val="Fuentedeprrafopredeter1"/>
          <w:b/>
          <w:bCs/>
        </w:rPr>
        <w:t>Ejercicio 2023</w:t>
      </w:r>
    </w:p>
    <w:p w14:paraId="5D157E3E" w14:textId="6989D49D" w:rsidR="005725AE" w:rsidRPr="005725AE" w:rsidRDefault="005725AE" w:rsidP="005725AE">
      <w:pPr>
        <w:pStyle w:val="Ttulo1"/>
        <w:jc w:val="both"/>
        <w:rPr>
          <w:rStyle w:val="Fuentedeprrafopredeter1"/>
        </w:rPr>
      </w:pPr>
      <w:r w:rsidRPr="005725AE">
        <w:rPr>
          <w:rStyle w:val="Fuentedeprrafopredeter1"/>
          <w:b/>
          <w:bCs/>
        </w:rPr>
        <w:t>Encomienda de Gestión</w:t>
      </w:r>
      <w:r w:rsidRPr="005725AE">
        <w:rPr>
          <w:rStyle w:val="Fuentedeprrafopredeter1"/>
        </w:rPr>
        <w:t xml:space="preserve"> GESTUR S.A. – Gerencia Municipal de Urbanismo de Santa Cruz de Tenerife</w:t>
      </w:r>
    </w:p>
    <w:p w14:paraId="3152843C" w14:textId="77777777" w:rsidR="005725AE" w:rsidRDefault="005725AE" w:rsidP="005725AE">
      <w:pPr>
        <w:pStyle w:val="LO-Normal"/>
        <w:jc w:val="both"/>
        <w:rPr>
          <w:rStyle w:val="Fuentedeprrafopredeter1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038C8AE7" w14:textId="319931BA" w:rsidR="005725AE" w:rsidRPr="005725AE" w:rsidRDefault="005725AE" w:rsidP="005725AE">
      <w:pPr>
        <w:pStyle w:val="LO-Normal"/>
        <w:jc w:val="both"/>
        <w:rPr>
          <w:rStyle w:val="Fuentedeprrafopredeter1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5725AE">
        <w:rPr>
          <w:rStyle w:val="Fuentedeprrafopredeter1"/>
          <w:rFonts w:asciiTheme="minorHAnsi" w:hAnsiTheme="minorHAnsi" w:cstheme="minorHAnsi"/>
          <w:color w:val="000000"/>
          <w:sz w:val="22"/>
          <w:szCs w:val="22"/>
          <w:lang w:val="es-ES"/>
        </w:rPr>
        <w:t>La ordenación vigente en el ámbito de Las Teresitas se encuentra recogida en el vigente Texto Refundido de la Modificación del PGOU-92 y Adaptación Básica al Decreto Legislativo 1/2000” (PGOU-05), aprobado definitivamente, de forma parcial, el 30 de noviembre de 2005, que recoge la ordenación del ámbito de Las Teresitas (LA-6), en su fichero de ordenación, clasificándolo como suelo urbano no consolidado, dividiéndolo en dos unidades de actuación: Ámbito A (municipal y de actuación pública), Ámbito B (de actuación privada). Dicha ordenación se corresponde con la que el Pleno del Excmo. Ayuntamiento, a través de moción de fecha 18 de septiembre de 2009 acordó reconsiderar.</w:t>
      </w:r>
    </w:p>
    <w:p w14:paraId="41B97139" w14:textId="77777777" w:rsidR="005725AE" w:rsidRPr="005725AE" w:rsidRDefault="005725AE" w:rsidP="005725AE">
      <w:pPr>
        <w:pStyle w:val="LO-Normal"/>
        <w:jc w:val="both"/>
        <w:rPr>
          <w:rStyle w:val="Fuentedeprrafopredeter1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02395F1E" w14:textId="77777777" w:rsidR="005725AE" w:rsidRPr="005725AE" w:rsidRDefault="005725AE" w:rsidP="005725AE">
      <w:pPr>
        <w:pStyle w:val="LO-Normal"/>
        <w:jc w:val="both"/>
        <w:rPr>
          <w:rFonts w:asciiTheme="minorHAnsi" w:hAnsiTheme="minorHAnsi" w:cstheme="minorHAnsi"/>
        </w:rPr>
      </w:pPr>
      <w:r w:rsidRPr="005725AE">
        <w:rPr>
          <w:rStyle w:val="Fuentedeprrafopredeter1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este sentido, el PGO-13, que entró en vigor el 30 de junio de 2014, en atención a la Moción del Pleno, determinó la remisión a Plan Especial la ordenación del ámbito y de acuerdo con dicha previsión se inició la redacción y tramitación del mismo, </w:t>
      </w:r>
      <w:r w:rsidRPr="005725AE">
        <w:rPr>
          <w:rFonts w:asciiTheme="minorHAnsi" w:hAnsiTheme="minorHAnsi" w:cstheme="minorHAnsi"/>
          <w:sz w:val="22"/>
          <w:szCs w:val="22"/>
          <w:lang w:val="es-ES"/>
        </w:rPr>
        <w:t>conforme al procedimiento legal y reglamentariamente establecido, alcanzando, en fecha 9 de marzo de 2020 acuerdo de la Junta de Gobierno Local, mediante el cual (entre otros) se acordaba solicitar a la Comisión Autonómica de Evaluación Ambiental la formulación de la Declaración Ambiental Estratégica del Plan Especial y solicitar los informes preceptivos previos a la aprobación definitiva.</w:t>
      </w:r>
    </w:p>
    <w:p w14:paraId="6E02B958" w14:textId="77777777" w:rsidR="005725AE" w:rsidRPr="005725AE" w:rsidRDefault="005725AE" w:rsidP="005725AE">
      <w:pPr>
        <w:pStyle w:val="LO-Normal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98D4EB1" w14:textId="77777777" w:rsidR="005725AE" w:rsidRPr="005725AE" w:rsidRDefault="005725AE" w:rsidP="005725AE">
      <w:pPr>
        <w:pStyle w:val="LO-Normal"/>
        <w:jc w:val="both"/>
        <w:rPr>
          <w:rStyle w:val="Fuentedeprrafopredeter1"/>
          <w:rFonts w:asciiTheme="minorHAnsi" w:hAnsiTheme="minorHAnsi" w:cstheme="minorHAnsi"/>
          <w:color w:val="000000"/>
        </w:rPr>
      </w:pPr>
      <w:r w:rsidRPr="005725AE">
        <w:rPr>
          <w:rFonts w:asciiTheme="minorHAnsi" w:hAnsiTheme="minorHAnsi" w:cstheme="minorHAnsi"/>
          <w:sz w:val="22"/>
          <w:szCs w:val="22"/>
          <w:lang w:val="es-ES"/>
        </w:rPr>
        <w:t xml:space="preserve">Sin embargo, </w:t>
      </w:r>
      <w:r w:rsidRPr="005725AE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la anulación </w:t>
      </w:r>
      <w:r w:rsidRPr="005725AE">
        <w:rPr>
          <w:rStyle w:val="Fuentedeprrafopredeter1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>PGO-13,</w:t>
      </w:r>
      <w:r w:rsidRPr="005725AE">
        <w:rPr>
          <w:rStyle w:val="Fuentedeprrafopredeter1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en virtud de la sentencia de 21 de julio de 2017, dictada por la Sala de lo Contencioso-Administrativo, Sección 1ª, del Tribunal Superior de Justicia de Canarias, que estima el recurso contencioso administrativo </w:t>
      </w:r>
      <w:proofErr w:type="spellStart"/>
      <w:r w:rsidRPr="005725AE">
        <w:rPr>
          <w:rStyle w:val="Fuentedeprrafopredeter1"/>
          <w:rFonts w:asciiTheme="minorHAnsi" w:hAnsiTheme="minorHAnsi" w:cstheme="minorHAnsi"/>
          <w:color w:val="000000"/>
          <w:sz w:val="22"/>
          <w:szCs w:val="22"/>
          <w:lang w:val="es-ES"/>
        </w:rPr>
        <w:t>nº</w:t>
      </w:r>
      <w:proofErr w:type="spellEnd"/>
      <w:r w:rsidRPr="005725AE">
        <w:rPr>
          <w:rStyle w:val="Fuentedeprrafopredeter1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116/2014, </w:t>
      </w:r>
      <w:r w:rsidRPr="005725AE">
        <w:rPr>
          <w:rStyle w:val="Fuentedeprrafopredeter1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>conllevó la conclusión y archivo del expediente de tramitación del citado Plan Especial de Ordenación</w:t>
      </w:r>
      <w:r w:rsidRPr="005725AE">
        <w:rPr>
          <w:rStyle w:val="Fuentedeprrafopredeter1"/>
          <w:rFonts w:asciiTheme="minorHAnsi" w:hAnsiTheme="minorHAnsi" w:cstheme="minorHAnsi"/>
          <w:color w:val="000000"/>
          <w:sz w:val="22"/>
          <w:szCs w:val="22"/>
          <w:lang w:val="es-ES"/>
        </w:rPr>
        <w:t>, y la reviviscencia de la ordenación dispuesta en el PGOU-05.</w:t>
      </w:r>
    </w:p>
    <w:p w14:paraId="3D10D875" w14:textId="77777777" w:rsidR="005725AE" w:rsidRPr="005725AE" w:rsidRDefault="005725AE" w:rsidP="005725AE">
      <w:pPr>
        <w:pStyle w:val="LO-Normal"/>
        <w:jc w:val="both"/>
        <w:rPr>
          <w:rStyle w:val="Fuentedeprrafopredeter1"/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4A4CD998" w14:textId="77777777" w:rsidR="005725AE" w:rsidRPr="005725AE" w:rsidRDefault="005725AE" w:rsidP="005725AE">
      <w:pPr>
        <w:pStyle w:val="LO-Normal"/>
        <w:jc w:val="both"/>
        <w:rPr>
          <w:rFonts w:asciiTheme="minorHAnsi" w:hAnsiTheme="minorHAnsi" w:cstheme="minorHAnsi"/>
        </w:rPr>
      </w:pPr>
      <w:r w:rsidRPr="005725AE">
        <w:rPr>
          <w:rFonts w:asciiTheme="minorHAnsi" w:hAnsiTheme="minorHAnsi" w:cstheme="minorHAnsi"/>
          <w:sz w:val="22"/>
          <w:szCs w:val="22"/>
          <w:lang w:val="es-ES"/>
        </w:rPr>
        <w:t xml:space="preserve">Estas circunstancias, sumadas </w:t>
      </w:r>
      <w:r w:rsidRPr="005725AE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al retraso en la tramitación del nuevo Plan General de Ordenación están causando la paralización de la gestión y desarrollo de este ámbito ordenación, que precisa de la modificación de la ordenación vigente, </w:t>
      </w:r>
      <w:r w:rsidRPr="005725AE">
        <w:rPr>
          <w:rFonts w:asciiTheme="minorHAnsi" w:hAnsiTheme="minorHAnsi" w:cstheme="minorHAnsi"/>
          <w:color w:val="000000"/>
          <w:sz w:val="22"/>
          <w:szCs w:val="22"/>
          <w:u w:val="single"/>
          <w:lang w:val="es-ES"/>
        </w:rPr>
        <w:t>de indudable interés para el municipio de Santa Cruz de Tenerife, puesto que precisa, entre otras cosas, adecuar su urbanización a los requerimientos del uso público de la playa y los servicios vinculados a la misma</w:t>
      </w:r>
      <w:r w:rsidRPr="005725AE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</w:p>
    <w:p w14:paraId="014474F0" w14:textId="77777777" w:rsidR="005725AE" w:rsidRPr="005725AE" w:rsidRDefault="005725AE" w:rsidP="005725AE">
      <w:pPr>
        <w:pStyle w:val="LO-Normal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3A46D110" w14:textId="77777777" w:rsidR="005725AE" w:rsidRPr="005725AE" w:rsidRDefault="005725AE" w:rsidP="005725AE">
      <w:pPr>
        <w:pStyle w:val="LO-Normal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725AE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Por esta razón, se ha procedido a encargar a la empresa pública GESTUR S.A. como medio propio personificado del Ayuntamiento, la redacción </w:t>
      </w:r>
      <w:r w:rsidRPr="005725AE"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>de una modificación de la ordenación prevista para este ámbito</w:t>
      </w:r>
      <w:r w:rsidRPr="005725AE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en el vigente PGOU-05, </w:t>
      </w:r>
      <w:r w:rsidRPr="005725AE"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(ámbito de suelo urbano no consolidado municipal de actuación A (Litoral de </w:t>
      </w:r>
      <w:proofErr w:type="spellStart"/>
      <w:r w:rsidRPr="005725AE"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>Anaga</w:t>
      </w:r>
      <w:proofErr w:type="spellEnd"/>
      <w:r w:rsidRPr="005725AE"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, LA-6, Área Las Teresitas), </w:t>
      </w:r>
      <w:r w:rsidRPr="005725AE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 fin de que pueda tramitarse de acuerdo con el procedimiento establecido en la vigente Ley 4/2017, de Suelo y de los Espacios Naturales Protegidos de Canarias. </w:t>
      </w:r>
    </w:p>
    <w:p w14:paraId="41D9E6C6" w14:textId="37DD4C56" w:rsidR="005725AE" w:rsidRDefault="005725AE">
      <w:pPr>
        <w:rPr>
          <w:rFonts w:cstheme="minorHAnsi"/>
        </w:rPr>
      </w:pPr>
    </w:p>
    <w:p w14:paraId="2A825A1E" w14:textId="3B4E9C67" w:rsidR="005725AE" w:rsidRDefault="005725AE" w:rsidP="005725AE">
      <w:pPr>
        <w:pStyle w:val="Ttulo"/>
        <w:jc w:val="right"/>
        <w:rPr>
          <w:b/>
          <w:bCs/>
        </w:rPr>
      </w:pPr>
      <w:r w:rsidRPr="005725AE">
        <w:rPr>
          <w:b/>
          <w:bCs/>
        </w:rPr>
        <w:t>Ejercicio 2022</w:t>
      </w:r>
    </w:p>
    <w:p w14:paraId="235F570A" w14:textId="77777777" w:rsidR="005725AE" w:rsidRDefault="005725AE" w:rsidP="005725AE"/>
    <w:p w14:paraId="243780BD" w14:textId="34D325D6" w:rsidR="005725AE" w:rsidRPr="005725AE" w:rsidRDefault="005725AE" w:rsidP="005725AE">
      <w:r>
        <w:t>La Gerencia Municipal de Urbanismo no ha efectuado hasta la fecha señalada, ninguna Encomienda de Gestión.</w:t>
      </w:r>
    </w:p>
    <w:sectPr w:rsidR="005725AE" w:rsidRPr="0057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AE"/>
    <w:rsid w:val="0057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752F"/>
  <w15:chartTrackingRefBased/>
  <w15:docId w15:val="{C2F59CF0-E6E3-4C72-B22C-B4924C60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25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basedOn w:val="Normal"/>
    <w:rsid w:val="005725AE"/>
    <w:pPr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Fuentedeprrafopredeter1">
    <w:name w:val="Fuente de párrafo predeter.1"/>
    <w:basedOn w:val="Fuentedeprrafopredeter"/>
    <w:rsid w:val="005725AE"/>
  </w:style>
  <w:style w:type="character" w:customStyle="1" w:styleId="Ttulo1Car">
    <w:name w:val="Título 1 Car"/>
    <w:basedOn w:val="Fuentedeprrafopredeter"/>
    <w:link w:val="Ttulo1"/>
    <w:uiPriority w:val="9"/>
    <w:rsid w:val="00572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5725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725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1</cp:revision>
  <dcterms:created xsi:type="dcterms:W3CDTF">2023-10-18T07:08:00Z</dcterms:created>
  <dcterms:modified xsi:type="dcterms:W3CDTF">2023-10-18T07:17:00Z</dcterms:modified>
</cp:coreProperties>
</file>