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85958" w14:textId="77777777" w:rsidR="00DC46E8" w:rsidRPr="00DC46E8" w:rsidRDefault="00DC46E8" w:rsidP="00DC46E8">
      <w:pPr>
        <w:shd w:val="clear" w:color="auto" w:fill="FFFFFF"/>
        <w:spacing w:after="480" w:line="630" w:lineRule="atLeast"/>
        <w:jc w:val="center"/>
        <w:outlineLvl w:val="1"/>
        <w:rPr>
          <w:rFonts w:ascii="Open Sans" w:eastAsia="Times New Roman" w:hAnsi="Open Sans" w:cs="Open Sans"/>
          <w:color w:val="2E74B5"/>
          <w:spacing w:val="-15"/>
          <w:sz w:val="53"/>
          <w:szCs w:val="53"/>
          <w:lang w:eastAsia="es-ES_tradnl"/>
        </w:rPr>
      </w:pPr>
      <w:r w:rsidRPr="00DC46E8">
        <w:rPr>
          <w:rFonts w:ascii="Open Sans" w:eastAsia="Times New Roman" w:hAnsi="Open Sans" w:cs="Open Sans"/>
          <w:color w:val="2E74B5"/>
          <w:spacing w:val="-15"/>
          <w:sz w:val="53"/>
          <w:szCs w:val="53"/>
          <w:lang w:eastAsia="es-ES_tradnl"/>
        </w:rPr>
        <w:t xml:space="preserve">Presentación y Funciones de la </w:t>
      </w:r>
      <w:r w:rsidRPr="00DC46E8">
        <w:rPr>
          <w:rFonts w:ascii="Open Sans" w:eastAsia="Times New Roman" w:hAnsi="Open Sans" w:cs="Open Sans"/>
          <w:b/>
          <w:bCs/>
          <w:color w:val="2E74B5"/>
          <w:spacing w:val="-15"/>
          <w:sz w:val="53"/>
          <w:szCs w:val="53"/>
          <w:lang w:eastAsia="es-ES_tradnl"/>
        </w:rPr>
        <w:t>Gerencia Municipal de Urbanismo de Santa Cruz de Tenerife.</w:t>
      </w:r>
    </w:p>
    <w:p w14:paraId="0658457C" w14:textId="77777777" w:rsidR="00DC46E8" w:rsidRPr="00DC46E8" w:rsidRDefault="00DC46E8" w:rsidP="00DC46E8">
      <w:pPr>
        <w:shd w:val="clear" w:color="auto" w:fill="FFFFFF"/>
        <w:spacing w:after="480" w:line="630" w:lineRule="atLeast"/>
        <w:jc w:val="both"/>
        <w:outlineLvl w:val="1"/>
        <w:rPr>
          <w:rFonts w:ascii="Open Sans" w:eastAsia="Times New Roman" w:hAnsi="Open Sans" w:cs="Open Sans"/>
          <w:color w:val="333333"/>
          <w:spacing w:val="-15"/>
          <w:sz w:val="53"/>
          <w:szCs w:val="53"/>
          <w:lang w:eastAsia="es-ES_tradnl"/>
        </w:rPr>
      </w:pPr>
      <w:r w:rsidRPr="00DC46E8">
        <w:rPr>
          <w:rFonts w:ascii="Open Sans" w:eastAsia="Times New Roman" w:hAnsi="Open Sans" w:cs="Open Sans"/>
          <w:color w:val="333333"/>
          <w:spacing w:val="-15"/>
          <w:sz w:val="53"/>
          <w:szCs w:val="53"/>
          <w:lang w:eastAsia="es-ES_tradnl"/>
        </w:rPr>
        <w:t>Creación de </w:t>
      </w:r>
      <w:r w:rsidRPr="00DC46E8">
        <w:rPr>
          <w:rFonts w:ascii="Open Sans" w:eastAsia="Times New Roman" w:hAnsi="Open Sans" w:cs="Open Sans"/>
          <w:b/>
          <w:bCs/>
          <w:color w:val="333333"/>
          <w:spacing w:val="-15"/>
          <w:sz w:val="53"/>
          <w:szCs w:val="53"/>
          <w:lang w:eastAsia="es-ES_tradnl"/>
        </w:rPr>
        <w:t>La Gerencia Municipal de Urbanismo de Santa Cruz de Tenerife</w:t>
      </w:r>
    </w:p>
    <w:p w14:paraId="0A131554" w14:textId="77777777" w:rsidR="00EF2861" w:rsidRPr="00EF2861" w:rsidRDefault="00EF2861" w:rsidP="00EF2861">
      <w:pPr>
        <w:shd w:val="clear" w:color="auto" w:fill="FFFFFF"/>
        <w:spacing w:after="300" w:line="360" w:lineRule="atLeast"/>
        <w:jc w:val="both"/>
        <w:rPr>
          <w:rFonts w:ascii="Open Sans" w:eastAsia="Times New Roman" w:hAnsi="Open Sans" w:cs="Open Sans"/>
          <w:color w:val="333333"/>
          <w:sz w:val="21"/>
          <w:szCs w:val="21"/>
          <w:lang w:val="es-ES" w:eastAsia="es-ES"/>
        </w:rPr>
      </w:pPr>
      <w:r w:rsidRPr="00EF2861">
        <w:rPr>
          <w:rFonts w:ascii="Open Sans" w:eastAsia="Times New Roman" w:hAnsi="Open Sans" w:cs="Open Sans"/>
          <w:color w:val="333333"/>
          <w:sz w:val="21"/>
          <w:szCs w:val="21"/>
          <w:lang w:val="es-ES" w:eastAsia="es-ES"/>
        </w:rPr>
        <w:t>La historia del desarrollo urbanístico de la ciudad de Santa Cruz de Tenerife tiene características similares a otras ciudades españolas. Formulación de planes o estrategias que no terminaban de desarrollarse por completo, y mientras, se llevaban a cabo crecimientos parciales de ensanche de la ciudad, en unos casos acertados y otros no tanto. Esta superposición de proyectos y visiones dificultaron la idea de construcción de una ciudad. Es con la llegada de la democracia, cuando se intenta dar coherencia al planeamiento municipal mediante un profundo estudio y análisis del estado de la ciudad y sobre su proyección futura.</w:t>
      </w:r>
    </w:p>
    <w:p w14:paraId="1925F03D" w14:textId="77777777" w:rsidR="00EF2861" w:rsidRPr="00EF2861" w:rsidRDefault="00EF2861" w:rsidP="00EF2861">
      <w:pPr>
        <w:shd w:val="clear" w:color="auto" w:fill="FFFFFF"/>
        <w:spacing w:after="300" w:line="360" w:lineRule="atLeast"/>
        <w:jc w:val="both"/>
        <w:rPr>
          <w:rFonts w:ascii="Open Sans" w:eastAsia="Times New Roman" w:hAnsi="Open Sans" w:cs="Open Sans"/>
          <w:color w:val="333333"/>
          <w:sz w:val="21"/>
          <w:szCs w:val="21"/>
          <w:lang w:val="es-ES" w:eastAsia="es-ES"/>
        </w:rPr>
      </w:pPr>
      <w:r w:rsidRPr="00EF2861">
        <w:rPr>
          <w:rFonts w:ascii="Open Sans" w:eastAsia="Times New Roman" w:hAnsi="Open Sans" w:cs="Open Sans"/>
          <w:color w:val="333333"/>
          <w:sz w:val="21"/>
          <w:szCs w:val="21"/>
          <w:lang w:val="es-ES" w:eastAsia="es-ES"/>
        </w:rPr>
        <w:t>Sin embargo, el urbanismo como tal ya comenzaba a gestarse en el ayuntamiento (</w:t>
      </w:r>
      <w:r w:rsidRPr="00EF2861">
        <w:rPr>
          <w:rFonts w:ascii="Open Sans" w:eastAsia="Times New Roman" w:hAnsi="Open Sans" w:cs="Open Sans"/>
          <w:i/>
          <w:iCs/>
          <w:color w:val="333333"/>
          <w:sz w:val="21"/>
          <w:szCs w:val="21"/>
          <w:lang w:val="es-ES" w:eastAsia="es-ES"/>
        </w:rPr>
        <w:t>por aquel entonces Ornato Publico</w:t>
      </w:r>
      <w:r w:rsidRPr="00EF2861">
        <w:rPr>
          <w:rFonts w:ascii="Open Sans" w:eastAsia="Times New Roman" w:hAnsi="Open Sans" w:cs="Open Sans"/>
          <w:color w:val="333333"/>
          <w:sz w:val="21"/>
          <w:szCs w:val="21"/>
          <w:lang w:val="es-ES" w:eastAsia="es-ES"/>
        </w:rPr>
        <w:t xml:space="preserve">) en la primera década del siglo XIX, donde podemos encontrar referencias al urbanismo de la ciudad. Una de ellas, fechada el 4 de agosto de 1814, hace mención </w:t>
      </w:r>
      <w:proofErr w:type="gramStart"/>
      <w:r w:rsidRPr="00EF2861">
        <w:rPr>
          <w:rFonts w:ascii="Open Sans" w:eastAsia="Times New Roman" w:hAnsi="Open Sans" w:cs="Open Sans"/>
          <w:color w:val="333333"/>
          <w:sz w:val="21"/>
          <w:szCs w:val="21"/>
          <w:lang w:val="es-ES" w:eastAsia="es-ES"/>
        </w:rPr>
        <w:t>a</w:t>
      </w:r>
      <w:proofErr w:type="gramEnd"/>
      <w:r w:rsidRPr="00EF2861">
        <w:rPr>
          <w:rFonts w:ascii="Open Sans" w:eastAsia="Times New Roman" w:hAnsi="Open Sans" w:cs="Open Sans"/>
          <w:color w:val="333333"/>
          <w:sz w:val="21"/>
          <w:szCs w:val="21"/>
          <w:lang w:val="es-ES" w:eastAsia="es-ES"/>
        </w:rPr>
        <w:t xml:space="preserve"> un auto de buen de gobierno en el que se establece que no se puede edificar sin autorización escrita y gratuita (</w:t>
      </w:r>
      <w:r w:rsidRPr="00EF2861">
        <w:rPr>
          <w:rFonts w:ascii="Open Sans" w:eastAsia="Times New Roman" w:hAnsi="Open Sans" w:cs="Open Sans"/>
          <w:i/>
          <w:iCs/>
          <w:color w:val="333333"/>
          <w:sz w:val="21"/>
          <w:szCs w:val="21"/>
          <w:lang w:val="es-ES" w:eastAsia="es-ES"/>
        </w:rPr>
        <w:t>no existía la gestión tributaria</w:t>
      </w:r>
      <w:r w:rsidRPr="00EF2861">
        <w:rPr>
          <w:rFonts w:ascii="Open Sans" w:eastAsia="Times New Roman" w:hAnsi="Open Sans" w:cs="Open Sans"/>
          <w:color w:val="333333"/>
          <w:sz w:val="21"/>
          <w:szCs w:val="21"/>
          <w:lang w:val="es-ES" w:eastAsia="es-ES"/>
        </w:rPr>
        <w:t>) del juez de policía. La finalidad es que las calles quedarán bien delineadas procurando de este modo enmendar en lo posible los yerros causados por la arbitrariedad de fabricar edificios.</w:t>
      </w:r>
    </w:p>
    <w:p w14:paraId="5F7E1AE4" w14:textId="77777777" w:rsidR="00EF2861" w:rsidRPr="00EF2861" w:rsidRDefault="00EF2861" w:rsidP="00EF2861">
      <w:pPr>
        <w:shd w:val="clear" w:color="auto" w:fill="FFFFFF"/>
        <w:spacing w:after="300" w:line="360" w:lineRule="atLeast"/>
        <w:jc w:val="both"/>
        <w:rPr>
          <w:rFonts w:ascii="Open Sans" w:eastAsia="Times New Roman" w:hAnsi="Open Sans" w:cs="Open Sans"/>
          <w:color w:val="333333"/>
          <w:sz w:val="21"/>
          <w:szCs w:val="21"/>
          <w:lang w:val="es-ES" w:eastAsia="es-ES"/>
        </w:rPr>
      </w:pPr>
      <w:r w:rsidRPr="00EF2861">
        <w:rPr>
          <w:rFonts w:ascii="Open Sans" w:eastAsia="Times New Roman" w:hAnsi="Open Sans" w:cs="Open Sans"/>
          <w:color w:val="333333"/>
          <w:sz w:val="21"/>
          <w:szCs w:val="21"/>
          <w:lang w:val="es-ES" w:eastAsia="es-ES"/>
        </w:rPr>
        <w:t>En 1.829 se introduce la novedad de presentar un plano a cuya aprobación se supedita la autorización de fabricar. No debe deducirse de ello que a la municipalidad le interesa la configuración interior de la casa, ni la habitabilidad. No pretende que se le someta un plano, no existe arquitecto municipal que lo interprete, le interesa el "</w:t>
      </w:r>
      <w:r w:rsidRPr="00EF2861">
        <w:rPr>
          <w:rFonts w:ascii="Open Sans" w:eastAsia="Times New Roman" w:hAnsi="Open Sans" w:cs="Open Sans"/>
          <w:i/>
          <w:iCs/>
          <w:color w:val="333333"/>
          <w:sz w:val="21"/>
          <w:szCs w:val="21"/>
          <w:lang w:val="es-ES" w:eastAsia="es-ES"/>
        </w:rPr>
        <w:t>diseño del frontis</w:t>
      </w:r>
      <w:r w:rsidRPr="00EF2861">
        <w:rPr>
          <w:rFonts w:ascii="Open Sans" w:eastAsia="Times New Roman" w:hAnsi="Open Sans" w:cs="Open Sans"/>
          <w:color w:val="333333"/>
          <w:sz w:val="21"/>
          <w:szCs w:val="21"/>
          <w:lang w:val="es-ES" w:eastAsia="es-ES"/>
        </w:rPr>
        <w:t>" y exige que dicho plano sea presentado 20 días antes de "</w:t>
      </w:r>
      <w:r w:rsidRPr="00EF2861">
        <w:rPr>
          <w:rFonts w:ascii="Open Sans" w:eastAsia="Times New Roman" w:hAnsi="Open Sans" w:cs="Open Sans"/>
          <w:i/>
          <w:iCs/>
          <w:color w:val="333333"/>
          <w:sz w:val="21"/>
          <w:szCs w:val="21"/>
          <w:lang w:val="es-ES" w:eastAsia="es-ES"/>
        </w:rPr>
        <w:t>abrir los cimientos</w:t>
      </w:r>
      <w:r w:rsidRPr="00EF2861">
        <w:rPr>
          <w:rFonts w:ascii="Open Sans" w:eastAsia="Times New Roman" w:hAnsi="Open Sans" w:cs="Open Sans"/>
          <w:color w:val="333333"/>
          <w:sz w:val="21"/>
          <w:szCs w:val="21"/>
          <w:lang w:val="es-ES" w:eastAsia="es-ES"/>
        </w:rPr>
        <w:t xml:space="preserve">". A falta de técnicos, el plano era más bien una declaración de intenciones, </w:t>
      </w:r>
      <w:r w:rsidRPr="00EF2861">
        <w:rPr>
          <w:rFonts w:ascii="Open Sans" w:eastAsia="Times New Roman" w:hAnsi="Open Sans" w:cs="Open Sans"/>
          <w:color w:val="333333"/>
          <w:sz w:val="21"/>
          <w:szCs w:val="21"/>
          <w:lang w:val="es-ES" w:eastAsia="es-ES"/>
        </w:rPr>
        <w:lastRenderedPageBreak/>
        <w:t>podría casi considerarse un antecedente de una </w:t>
      </w:r>
      <w:r w:rsidRPr="00EF2861">
        <w:rPr>
          <w:rFonts w:ascii="Open Sans" w:eastAsia="Times New Roman" w:hAnsi="Open Sans" w:cs="Open Sans"/>
          <w:i/>
          <w:iCs/>
          <w:color w:val="333333"/>
          <w:sz w:val="21"/>
          <w:szCs w:val="21"/>
          <w:lang w:val="es-ES" w:eastAsia="es-ES"/>
        </w:rPr>
        <w:t>Declaración Responsable</w:t>
      </w:r>
      <w:r w:rsidRPr="00EF2861">
        <w:rPr>
          <w:rFonts w:ascii="Open Sans" w:eastAsia="Times New Roman" w:hAnsi="Open Sans" w:cs="Open Sans"/>
          <w:color w:val="333333"/>
          <w:sz w:val="21"/>
          <w:szCs w:val="21"/>
          <w:lang w:val="es-ES" w:eastAsia="es-ES"/>
        </w:rPr>
        <w:t> o una </w:t>
      </w:r>
      <w:r w:rsidRPr="00EF2861">
        <w:rPr>
          <w:rFonts w:ascii="Open Sans" w:eastAsia="Times New Roman" w:hAnsi="Open Sans" w:cs="Open Sans"/>
          <w:i/>
          <w:iCs/>
          <w:color w:val="333333"/>
          <w:sz w:val="21"/>
          <w:szCs w:val="21"/>
          <w:lang w:val="es-ES" w:eastAsia="es-ES"/>
        </w:rPr>
        <w:t>Comunicación Previa</w:t>
      </w:r>
      <w:r w:rsidRPr="00EF2861">
        <w:rPr>
          <w:rFonts w:ascii="Open Sans" w:eastAsia="Times New Roman" w:hAnsi="Open Sans" w:cs="Open Sans"/>
          <w:color w:val="333333"/>
          <w:sz w:val="21"/>
          <w:szCs w:val="21"/>
          <w:lang w:val="es-ES" w:eastAsia="es-ES"/>
        </w:rPr>
        <w:t> de hoy en día. Y esto lo ilustra una anécdota de 1.839, cuando un vecino pretende edificar en la calle Cruz Verde y presenta el mencionado plano de la fachada. El dibujo le sale mal y las ventanas resultan más anchas que las puertas, pero él vecino declaró que aquello "</w:t>
      </w:r>
      <w:r w:rsidRPr="00EF2861">
        <w:rPr>
          <w:rFonts w:ascii="Open Sans" w:eastAsia="Times New Roman" w:hAnsi="Open Sans" w:cs="Open Sans"/>
          <w:i/>
          <w:iCs/>
          <w:color w:val="333333"/>
          <w:sz w:val="21"/>
          <w:szCs w:val="21"/>
          <w:lang w:val="es-ES" w:eastAsia="es-ES"/>
        </w:rPr>
        <w:t>no valía</w:t>
      </w:r>
      <w:r w:rsidRPr="00EF2861">
        <w:rPr>
          <w:rFonts w:ascii="Open Sans" w:eastAsia="Times New Roman" w:hAnsi="Open Sans" w:cs="Open Sans"/>
          <w:color w:val="333333"/>
          <w:sz w:val="21"/>
          <w:szCs w:val="21"/>
          <w:lang w:val="es-ES" w:eastAsia="es-ES"/>
        </w:rPr>
        <w:t>", porque su intención era que fuesen iguales y fue su intención, que no su plano, la que consiguió la autorización.</w:t>
      </w:r>
    </w:p>
    <w:p w14:paraId="03DA88A7" w14:textId="77777777" w:rsidR="00EF2861" w:rsidRPr="00EF2861" w:rsidRDefault="00EF2861" w:rsidP="00EF2861">
      <w:pPr>
        <w:shd w:val="clear" w:color="auto" w:fill="FFFFFF"/>
        <w:spacing w:after="300" w:line="360" w:lineRule="atLeast"/>
        <w:jc w:val="both"/>
        <w:rPr>
          <w:rFonts w:ascii="Open Sans" w:eastAsia="Times New Roman" w:hAnsi="Open Sans" w:cs="Open Sans"/>
          <w:color w:val="333333"/>
          <w:sz w:val="21"/>
          <w:szCs w:val="21"/>
          <w:lang w:val="es-ES" w:eastAsia="es-ES"/>
        </w:rPr>
      </w:pPr>
      <w:r w:rsidRPr="00EF2861">
        <w:rPr>
          <w:rFonts w:ascii="Open Sans" w:eastAsia="Times New Roman" w:hAnsi="Open Sans" w:cs="Open Sans"/>
          <w:color w:val="333333"/>
          <w:sz w:val="21"/>
          <w:szCs w:val="21"/>
          <w:lang w:val="es-ES" w:eastAsia="es-ES"/>
        </w:rPr>
        <w:t>A partir de 1.868 el servicio cobró mayor eficacia, se regularizó la presentación de los planos, ya había arquitectos en la ciudad, y en 1.874 se aumentan las exigencias y se pide, para un mayor ornato, que todas las casas que se fabriquen en adelante, dispongan de zócalo de piedra a la calle. En cuanto a normativa vemos una primera regulación urbanística en 1.894 cuando se modifican las ordenanzas municipales para determinar las alturas autorizadas de los edificios, que prohíbe construcciones de una sola planta entre las calles de </w:t>
      </w:r>
      <w:r w:rsidRPr="00EF2861">
        <w:rPr>
          <w:rFonts w:ascii="Open Sans" w:eastAsia="Times New Roman" w:hAnsi="Open Sans" w:cs="Open Sans"/>
          <w:b/>
          <w:bCs/>
          <w:i/>
          <w:iCs/>
          <w:color w:val="333333"/>
          <w:sz w:val="21"/>
          <w:szCs w:val="21"/>
          <w:lang w:val="es-ES" w:eastAsia="es-ES"/>
        </w:rPr>
        <w:t>La Marina</w:t>
      </w:r>
      <w:r w:rsidRPr="00EF2861">
        <w:rPr>
          <w:rFonts w:ascii="Open Sans" w:eastAsia="Times New Roman" w:hAnsi="Open Sans" w:cs="Open Sans"/>
          <w:color w:val="333333"/>
          <w:sz w:val="21"/>
          <w:szCs w:val="21"/>
          <w:lang w:val="es-ES" w:eastAsia="es-ES"/>
        </w:rPr>
        <w:t>, </w:t>
      </w:r>
      <w:r w:rsidRPr="00EF2861">
        <w:rPr>
          <w:rFonts w:ascii="Open Sans" w:eastAsia="Times New Roman" w:hAnsi="Open Sans" w:cs="Open Sans"/>
          <w:b/>
          <w:bCs/>
          <w:i/>
          <w:iCs/>
          <w:color w:val="333333"/>
          <w:sz w:val="21"/>
          <w:szCs w:val="21"/>
          <w:lang w:val="es-ES" w:eastAsia="es-ES"/>
        </w:rPr>
        <w:t>San Martín</w:t>
      </w:r>
      <w:r w:rsidRPr="00EF2861">
        <w:rPr>
          <w:rFonts w:ascii="Open Sans" w:eastAsia="Times New Roman" w:hAnsi="Open Sans" w:cs="Open Sans"/>
          <w:color w:val="333333"/>
          <w:sz w:val="21"/>
          <w:szCs w:val="21"/>
          <w:lang w:val="es-ES" w:eastAsia="es-ES"/>
        </w:rPr>
        <w:t>, </w:t>
      </w:r>
      <w:r w:rsidRPr="00EF2861">
        <w:rPr>
          <w:rFonts w:ascii="Open Sans" w:eastAsia="Times New Roman" w:hAnsi="Open Sans" w:cs="Open Sans"/>
          <w:b/>
          <w:bCs/>
          <w:i/>
          <w:iCs/>
          <w:color w:val="333333"/>
          <w:sz w:val="21"/>
          <w:szCs w:val="21"/>
          <w:lang w:val="es-ES" w:eastAsia="es-ES"/>
        </w:rPr>
        <w:t>Santa Rosalía</w:t>
      </w:r>
      <w:r w:rsidRPr="00EF2861">
        <w:rPr>
          <w:rFonts w:ascii="Open Sans" w:eastAsia="Times New Roman" w:hAnsi="Open Sans" w:cs="Open Sans"/>
          <w:color w:val="333333"/>
          <w:sz w:val="21"/>
          <w:szCs w:val="21"/>
          <w:lang w:val="es-ES" w:eastAsia="es-ES"/>
        </w:rPr>
        <w:t>, </w:t>
      </w:r>
      <w:r w:rsidRPr="00EF2861">
        <w:rPr>
          <w:rFonts w:ascii="Open Sans" w:eastAsia="Times New Roman" w:hAnsi="Open Sans" w:cs="Open Sans"/>
          <w:i/>
          <w:iCs/>
          <w:color w:val="333333"/>
          <w:sz w:val="21"/>
          <w:szCs w:val="21"/>
          <w:lang w:val="es-ES" w:eastAsia="es-ES"/>
        </w:rPr>
        <w:t>El Chorro de los Caballos</w:t>
      </w:r>
      <w:r w:rsidRPr="00EF2861">
        <w:rPr>
          <w:rFonts w:ascii="Open Sans" w:eastAsia="Times New Roman" w:hAnsi="Open Sans" w:cs="Open Sans"/>
          <w:color w:val="333333"/>
          <w:sz w:val="21"/>
          <w:szCs w:val="21"/>
          <w:lang w:val="es-ES" w:eastAsia="es-ES"/>
        </w:rPr>
        <w:t>, </w:t>
      </w:r>
      <w:r w:rsidRPr="00EF2861">
        <w:rPr>
          <w:rFonts w:ascii="Open Sans" w:eastAsia="Times New Roman" w:hAnsi="Open Sans" w:cs="Open Sans"/>
          <w:b/>
          <w:bCs/>
          <w:i/>
          <w:iCs/>
          <w:color w:val="333333"/>
          <w:sz w:val="21"/>
          <w:szCs w:val="21"/>
          <w:lang w:val="es-ES" w:eastAsia="es-ES"/>
        </w:rPr>
        <w:t>La Plaza Weyler</w:t>
      </w:r>
      <w:r w:rsidRPr="00EF2861">
        <w:rPr>
          <w:rFonts w:ascii="Open Sans" w:eastAsia="Times New Roman" w:hAnsi="Open Sans" w:cs="Open Sans"/>
          <w:color w:val="333333"/>
          <w:sz w:val="21"/>
          <w:szCs w:val="21"/>
          <w:lang w:val="es-ES" w:eastAsia="es-ES"/>
        </w:rPr>
        <w:t>, </w:t>
      </w:r>
      <w:r w:rsidRPr="00EF2861">
        <w:rPr>
          <w:rFonts w:ascii="Open Sans" w:eastAsia="Times New Roman" w:hAnsi="Open Sans" w:cs="Open Sans"/>
          <w:b/>
          <w:bCs/>
          <w:i/>
          <w:iCs/>
          <w:color w:val="333333"/>
          <w:sz w:val="21"/>
          <w:szCs w:val="21"/>
          <w:lang w:val="es-ES" w:eastAsia="es-ES"/>
        </w:rPr>
        <w:t>El Teatro</w:t>
      </w:r>
      <w:r w:rsidRPr="00EF2861">
        <w:rPr>
          <w:rFonts w:ascii="Open Sans" w:eastAsia="Times New Roman" w:hAnsi="Open Sans" w:cs="Open Sans"/>
          <w:color w:val="333333"/>
          <w:sz w:val="21"/>
          <w:szCs w:val="21"/>
          <w:lang w:val="es-ES" w:eastAsia="es-ES"/>
        </w:rPr>
        <w:t>, la calle de </w:t>
      </w:r>
      <w:r w:rsidRPr="00EF2861">
        <w:rPr>
          <w:rFonts w:ascii="Open Sans" w:eastAsia="Times New Roman" w:hAnsi="Open Sans" w:cs="Open Sans"/>
          <w:b/>
          <w:bCs/>
          <w:i/>
          <w:iCs/>
          <w:color w:val="333333"/>
          <w:sz w:val="21"/>
          <w:szCs w:val="21"/>
          <w:lang w:val="es-ES" w:eastAsia="es-ES"/>
        </w:rPr>
        <w:t>La Noria</w:t>
      </w:r>
      <w:r w:rsidRPr="00EF2861">
        <w:rPr>
          <w:rFonts w:ascii="Open Sans" w:eastAsia="Times New Roman" w:hAnsi="Open Sans" w:cs="Open Sans"/>
          <w:color w:val="333333"/>
          <w:sz w:val="21"/>
          <w:szCs w:val="21"/>
          <w:lang w:val="es-ES" w:eastAsia="es-ES"/>
        </w:rPr>
        <w:t> y</w:t>
      </w:r>
      <w:r w:rsidRPr="00EF2861">
        <w:rPr>
          <w:rFonts w:ascii="Open Sans" w:eastAsia="Times New Roman" w:hAnsi="Open Sans" w:cs="Open Sans"/>
          <w:b/>
          <w:bCs/>
          <w:i/>
          <w:iCs/>
          <w:color w:val="333333"/>
          <w:sz w:val="21"/>
          <w:szCs w:val="21"/>
          <w:lang w:val="es-ES" w:eastAsia="es-ES"/>
        </w:rPr>
        <w:t> La Caleta</w:t>
      </w:r>
      <w:r w:rsidRPr="00EF2861">
        <w:rPr>
          <w:rFonts w:ascii="Open Sans" w:eastAsia="Times New Roman" w:hAnsi="Open Sans" w:cs="Open Sans"/>
          <w:color w:val="333333"/>
          <w:sz w:val="21"/>
          <w:szCs w:val="21"/>
          <w:lang w:val="es-ES" w:eastAsia="es-ES"/>
        </w:rPr>
        <w:t xml:space="preserve">. En todo el término municipal se fijó en 4 metros la altura mínima de planta baja, 3 en </w:t>
      </w:r>
      <w:proofErr w:type="gramStart"/>
      <w:r w:rsidRPr="00EF2861">
        <w:rPr>
          <w:rFonts w:ascii="Open Sans" w:eastAsia="Times New Roman" w:hAnsi="Open Sans" w:cs="Open Sans"/>
          <w:color w:val="333333"/>
          <w:sz w:val="21"/>
          <w:szCs w:val="21"/>
          <w:lang w:val="es-ES" w:eastAsia="es-ES"/>
        </w:rPr>
        <w:t>la alta</w:t>
      </w:r>
      <w:proofErr w:type="gramEnd"/>
      <w:r w:rsidRPr="00EF2861">
        <w:rPr>
          <w:rFonts w:ascii="Open Sans" w:eastAsia="Times New Roman" w:hAnsi="Open Sans" w:cs="Open Sans"/>
          <w:color w:val="333333"/>
          <w:sz w:val="21"/>
          <w:szCs w:val="21"/>
          <w:lang w:val="es-ES" w:eastAsia="es-ES"/>
        </w:rPr>
        <w:t>, fijando alturas máximas para dos, tres y cuatro pisos. En la historia de Santa Cruz de </w:t>
      </w:r>
      <w:r w:rsidRPr="00EF2861">
        <w:rPr>
          <w:rFonts w:ascii="Open Sans" w:eastAsia="Times New Roman" w:hAnsi="Open Sans" w:cs="Open Sans"/>
          <w:b/>
          <w:bCs/>
          <w:i/>
          <w:iCs/>
          <w:color w:val="333333"/>
          <w:sz w:val="21"/>
          <w:szCs w:val="21"/>
          <w:lang w:val="es-ES" w:eastAsia="es-ES"/>
        </w:rPr>
        <w:t xml:space="preserve">D. Alejandro </w:t>
      </w:r>
      <w:proofErr w:type="spellStart"/>
      <w:r w:rsidRPr="00EF2861">
        <w:rPr>
          <w:rFonts w:ascii="Open Sans" w:eastAsia="Times New Roman" w:hAnsi="Open Sans" w:cs="Open Sans"/>
          <w:b/>
          <w:bCs/>
          <w:i/>
          <w:iCs/>
          <w:color w:val="333333"/>
          <w:sz w:val="21"/>
          <w:szCs w:val="21"/>
          <w:lang w:val="es-ES" w:eastAsia="es-ES"/>
        </w:rPr>
        <w:t>Cioranescu</w:t>
      </w:r>
      <w:proofErr w:type="spellEnd"/>
      <w:r w:rsidRPr="00EF2861">
        <w:rPr>
          <w:rFonts w:ascii="Open Sans" w:eastAsia="Times New Roman" w:hAnsi="Open Sans" w:cs="Open Sans"/>
          <w:color w:val="333333"/>
          <w:sz w:val="21"/>
          <w:szCs w:val="21"/>
          <w:lang w:val="es-ES" w:eastAsia="es-ES"/>
        </w:rPr>
        <w:t> (</w:t>
      </w:r>
      <w:r w:rsidRPr="00EF2861">
        <w:rPr>
          <w:rFonts w:ascii="Open Sans" w:eastAsia="Times New Roman" w:hAnsi="Open Sans" w:cs="Open Sans"/>
          <w:i/>
          <w:iCs/>
          <w:color w:val="333333"/>
          <w:sz w:val="21"/>
          <w:szCs w:val="21"/>
          <w:lang w:val="es-ES" w:eastAsia="es-ES"/>
        </w:rPr>
        <w:t>fuente utilizada a la que les remito</w:t>
      </w:r>
      <w:r w:rsidRPr="00EF2861">
        <w:rPr>
          <w:rFonts w:ascii="Open Sans" w:eastAsia="Times New Roman" w:hAnsi="Open Sans" w:cs="Open Sans"/>
          <w:color w:val="333333"/>
          <w:sz w:val="21"/>
          <w:szCs w:val="21"/>
          <w:lang w:val="es-ES" w:eastAsia="es-ES"/>
        </w:rPr>
        <w:t>), quien fue cronista oficial de la ciudad, se relacionan los doce arquitectos municipales entre los que se incluye </w:t>
      </w:r>
      <w:r w:rsidRPr="00EF2861">
        <w:rPr>
          <w:rFonts w:ascii="Open Sans" w:eastAsia="Times New Roman" w:hAnsi="Open Sans" w:cs="Open Sans"/>
          <w:b/>
          <w:bCs/>
          <w:i/>
          <w:iCs/>
          <w:color w:val="333333"/>
          <w:sz w:val="21"/>
          <w:szCs w:val="21"/>
          <w:lang w:val="es-ES" w:eastAsia="es-ES"/>
        </w:rPr>
        <w:t>D. Manuel de Cámara</w:t>
      </w:r>
      <w:r w:rsidRPr="00EF2861">
        <w:rPr>
          <w:rFonts w:ascii="Open Sans" w:eastAsia="Times New Roman" w:hAnsi="Open Sans" w:cs="Open Sans"/>
          <w:color w:val="333333"/>
          <w:sz w:val="21"/>
          <w:szCs w:val="21"/>
          <w:lang w:val="es-ES" w:eastAsia="es-ES"/>
        </w:rPr>
        <w:t>, que dimitió porque insistía en la urgencia de unas obras en el puente de </w:t>
      </w:r>
      <w:r w:rsidRPr="00EF2861">
        <w:rPr>
          <w:rFonts w:ascii="Open Sans" w:eastAsia="Times New Roman" w:hAnsi="Open Sans" w:cs="Open Sans"/>
          <w:b/>
          <w:bCs/>
          <w:i/>
          <w:iCs/>
          <w:color w:val="333333"/>
          <w:sz w:val="21"/>
          <w:szCs w:val="21"/>
          <w:lang w:val="es-ES" w:eastAsia="es-ES"/>
        </w:rPr>
        <w:t>El Cabo</w:t>
      </w:r>
      <w:r w:rsidRPr="00EF2861">
        <w:rPr>
          <w:rFonts w:ascii="Open Sans" w:eastAsia="Times New Roman" w:hAnsi="Open Sans" w:cs="Open Sans"/>
          <w:color w:val="333333"/>
          <w:sz w:val="21"/>
          <w:szCs w:val="21"/>
          <w:lang w:val="es-ES" w:eastAsia="es-ES"/>
        </w:rPr>
        <w:t> o </w:t>
      </w:r>
      <w:r w:rsidRPr="00EF2861">
        <w:rPr>
          <w:rFonts w:ascii="Open Sans" w:eastAsia="Times New Roman" w:hAnsi="Open Sans" w:cs="Open Sans"/>
          <w:b/>
          <w:bCs/>
          <w:i/>
          <w:iCs/>
          <w:color w:val="333333"/>
          <w:sz w:val="21"/>
          <w:szCs w:val="21"/>
          <w:lang w:val="es-ES" w:eastAsia="es-ES"/>
        </w:rPr>
        <w:t>D. Antonio Pintor</w:t>
      </w:r>
      <w:r w:rsidRPr="00EF2861">
        <w:rPr>
          <w:rFonts w:ascii="Open Sans" w:eastAsia="Times New Roman" w:hAnsi="Open Sans" w:cs="Open Sans"/>
          <w:color w:val="333333"/>
          <w:sz w:val="21"/>
          <w:szCs w:val="21"/>
          <w:lang w:val="es-ES" w:eastAsia="es-ES"/>
        </w:rPr>
        <w:t> que “</w:t>
      </w:r>
      <w:r w:rsidRPr="00EF2861">
        <w:rPr>
          <w:rFonts w:ascii="Open Sans" w:eastAsia="Times New Roman" w:hAnsi="Open Sans" w:cs="Open Sans"/>
          <w:i/>
          <w:iCs/>
          <w:color w:val="333333"/>
          <w:sz w:val="21"/>
          <w:szCs w:val="21"/>
          <w:lang w:val="es-ES" w:eastAsia="es-ES"/>
        </w:rPr>
        <w:t>por venir de fuera y no tener despacho propio, el ayuntamiento dispone que se le ponga un cuarto</w:t>
      </w:r>
      <w:r w:rsidRPr="00EF2861">
        <w:rPr>
          <w:rFonts w:ascii="Open Sans" w:eastAsia="Times New Roman" w:hAnsi="Open Sans" w:cs="Open Sans"/>
          <w:color w:val="333333"/>
          <w:sz w:val="21"/>
          <w:szCs w:val="21"/>
          <w:lang w:val="es-ES" w:eastAsia="es-ES"/>
        </w:rPr>
        <w:t>”. Quizás y con cierto tono humorístico, esta podría considerarse la primera sede de urbanismo en el municipio. También </w:t>
      </w:r>
      <w:r w:rsidRPr="00EF2861">
        <w:rPr>
          <w:rFonts w:ascii="Open Sans" w:eastAsia="Times New Roman" w:hAnsi="Open Sans" w:cs="Open Sans"/>
          <w:b/>
          <w:bCs/>
          <w:i/>
          <w:iCs/>
          <w:color w:val="333333"/>
          <w:sz w:val="21"/>
          <w:szCs w:val="21"/>
          <w:lang w:val="es-ES" w:eastAsia="es-ES"/>
        </w:rPr>
        <w:t>D. Otilio Arroyo Cruz</w:t>
      </w:r>
      <w:r w:rsidRPr="00EF2861">
        <w:rPr>
          <w:rFonts w:ascii="Open Sans" w:eastAsia="Times New Roman" w:hAnsi="Open Sans" w:cs="Open Sans"/>
          <w:color w:val="333333"/>
          <w:sz w:val="21"/>
          <w:szCs w:val="21"/>
          <w:lang w:val="es-ES" w:eastAsia="es-ES"/>
        </w:rPr>
        <w:t xml:space="preserve"> que fue destituido en 1.937 y en 1.939 se confirma su depuración. Y así hasta finales del siglo </w:t>
      </w:r>
      <w:proofErr w:type="spellStart"/>
      <w:r w:rsidRPr="00EF2861">
        <w:rPr>
          <w:rFonts w:ascii="Open Sans" w:eastAsia="Times New Roman" w:hAnsi="Open Sans" w:cs="Open Sans"/>
          <w:color w:val="333333"/>
          <w:sz w:val="21"/>
          <w:szCs w:val="21"/>
          <w:lang w:val="es-ES" w:eastAsia="es-ES"/>
        </w:rPr>
        <w:t>xx</w:t>
      </w:r>
      <w:proofErr w:type="spellEnd"/>
      <w:r w:rsidRPr="00EF2861">
        <w:rPr>
          <w:rFonts w:ascii="Open Sans" w:eastAsia="Times New Roman" w:hAnsi="Open Sans" w:cs="Open Sans"/>
          <w:color w:val="333333"/>
          <w:sz w:val="21"/>
          <w:szCs w:val="21"/>
          <w:lang w:val="es-ES" w:eastAsia="es-ES"/>
        </w:rPr>
        <w:t xml:space="preserve"> con </w:t>
      </w:r>
      <w:r w:rsidRPr="00EF2861">
        <w:rPr>
          <w:rFonts w:ascii="Open Sans" w:eastAsia="Times New Roman" w:hAnsi="Open Sans" w:cs="Open Sans"/>
          <w:b/>
          <w:bCs/>
          <w:i/>
          <w:iCs/>
          <w:color w:val="333333"/>
          <w:sz w:val="21"/>
          <w:szCs w:val="21"/>
          <w:lang w:val="es-ES" w:eastAsia="es-ES"/>
        </w:rPr>
        <w:t>D. Juan Jorge Toledo Díaz</w:t>
      </w:r>
      <w:r w:rsidRPr="00EF2861">
        <w:rPr>
          <w:rFonts w:ascii="Open Sans" w:eastAsia="Times New Roman" w:hAnsi="Open Sans" w:cs="Open Sans"/>
          <w:color w:val="333333"/>
          <w:sz w:val="21"/>
          <w:szCs w:val="21"/>
          <w:lang w:val="es-ES" w:eastAsia="es-ES"/>
        </w:rPr>
        <w:t> que fue el último arquitecto municipal.</w:t>
      </w:r>
    </w:p>
    <w:p w14:paraId="71B930C1" w14:textId="77777777" w:rsidR="00EF2861" w:rsidRPr="00EF2861" w:rsidRDefault="00EF2861" w:rsidP="00EF2861">
      <w:pPr>
        <w:shd w:val="clear" w:color="auto" w:fill="FFFFFF"/>
        <w:spacing w:after="300" w:line="360" w:lineRule="atLeast"/>
        <w:jc w:val="both"/>
        <w:rPr>
          <w:rFonts w:ascii="Open Sans" w:eastAsia="Times New Roman" w:hAnsi="Open Sans" w:cs="Open Sans"/>
          <w:color w:val="333333"/>
          <w:sz w:val="21"/>
          <w:szCs w:val="21"/>
          <w:lang w:val="es-ES" w:eastAsia="es-ES"/>
        </w:rPr>
      </w:pPr>
      <w:r w:rsidRPr="00EF2861">
        <w:rPr>
          <w:rFonts w:ascii="Open Sans" w:eastAsia="Times New Roman" w:hAnsi="Open Sans" w:cs="Open Sans"/>
          <w:color w:val="333333"/>
          <w:sz w:val="21"/>
          <w:szCs w:val="21"/>
          <w:lang w:val="es-ES" w:eastAsia="es-ES"/>
        </w:rPr>
        <w:t xml:space="preserve">Ya en 1981 empezó a trabajar en el Ayuntamiento un equipo de técnicos para revisar el Plan General de Ordenación Urbana de 1956. De esos trabajos, y su tramitación, se consigue que el nuevo Plan General de Ordenación Urbana de Santa Cruz de Tenerife fuera aprobado definitivamente por Orden del Excmo. </w:t>
      </w:r>
      <w:proofErr w:type="gramStart"/>
      <w:r w:rsidRPr="00EF2861">
        <w:rPr>
          <w:rFonts w:ascii="Open Sans" w:eastAsia="Times New Roman" w:hAnsi="Open Sans" w:cs="Open Sans"/>
          <w:color w:val="333333"/>
          <w:sz w:val="21"/>
          <w:szCs w:val="21"/>
          <w:lang w:val="es-ES" w:eastAsia="es-ES"/>
        </w:rPr>
        <w:t>Consejero</w:t>
      </w:r>
      <w:proofErr w:type="gramEnd"/>
      <w:r w:rsidRPr="00EF2861">
        <w:rPr>
          <w:rFonts w:ascii="Open Sans" w:eastAsia="Times New Roman" w:hAnsi="Open Sans" w:cs="Open Sans"/>
          <w:color w:val="333333"/>
          <w:sz w:val="21"/>
          <w:szCs w:val="21"/>
          <w:lang w:val="es-ES" w:eastAsia="es-ES"/>
        </w:rPr>
        <w:t xml:space="preserve"> de Política Territorial del Gobierno de Canarias de fecha 7 de enero de 1992 y realizada la última publicación de su Texto Refundido en el Boletín Oficial de Canarias de 20 de agosto de 1992.</w:t>
      </w:r>
    </w:p>
    <w:p w14:paraId="68903DE4" w14:textId="77777777" w:rsidR="00EF2861" w:rsidRPr="00EF2861" w:rsidRDefault="00EF2861" w:rsidP="00EF2861">
      <w:pPr>
        <w:shd w:val="clear" w:color="auto" w:fill="FFFFFF"/>
        <w:spacing w:after="300" w:line="360" w:lineRule="atLeast"/>
        <w:jc w:val="both"/>
        <w:rPr>
          <w:rFonts w:ascii="Open Sans" w:eastAsia="Times New Roman" w:hAnsi="Open Sans" w:cs="Open Sans"/>
          <w:color w:val="333333"/>
          <w:sz w:val="21"/>
          <w:szCs w:val="21"/>
          <w:lang w:val="es-ES" w:eastAsia="es-ES"/>
        </w:rPr>
      </w:pPr>
      <w:r w:rsidRPr="00EF2861">
        <w:rPr>
          <w:rFonts w:ascii="Open Sans" w:eastAsia="Times New Roman" w:hAnsi="Open Sans" w:cs="Open Sans"/>
          <w:color w:val="333333"/>
          <w:sz w:val="21"/>
          <w:szCs w:val="21"/>
          <w:lang w:val="es-ES" w:eastAsia="es-ES"/>
        </w:rPr>
        <w:t xml:space="preserve">Y es a raíz de esa aprobación del nuevo planeamiento cuando el Ayuntamiento de Santa Cruz de Tenerife decide crear en 1.993 este organismo autónomo, asumiendo las funciones de la extinta sección 4, nace la Gerencia Municipal de Urbanismo – en adelante GMU- para la gestión directa de los servicios públicos urbanísticos y los conexos con éstos: el planeamiento, las autorizaciones y la disciplina urbanística, de </w:t>
      </w:r>
      <w:r w:rsidRPr="00EF2861">
        <w:rPr>
          <w:rFonts w:ascii="Open Sans" w:eastAsia="Times New Roman" w:hAnsi="Open Sans" w:cs="Open Sans"/>
          <w:color w:val="333333"/>
          <w:sz w:val="21"/>
          <w:szCs w:val="21"/>
          <w:lang w:val="es-ES" w:eastAsia="es-ES"/>
        </w:rPr>
        <w:lastRenderedPageBreak/>
        <w:t xml:space="preserve">manera continuada, y en materia de infraestructuras, proyectos y obras municipales y políticas de vivienda, en algunos mandatos políticos. Su primera ubicación fue el número 73 de la Avda. Tres de </w:t>
      </w:r>
      <w:proofErr w:type="gramStart"/>
      <w:r w:rsidRPr="00EF2861">
        <w:rPr>
          <w:rFonts w:ascii="Open Sans" w:eastAsia="Times New Roman" w:hAnsi="Open Sans" w:cs="Open Sans"/>
          <w:color w:val="333333"/>
          <w:sz w:val="21"/>
          <w:szCs w:val="21"/>
          <w:lang w:val="es-ES" w:eastAsia="es-ES"/>
        </w:rPr>
        <w:t>Mayo</w:t>
      </w:r>
      <w:proofErr w:type="gramEnd"/>
      <w:r w:rsidRPr="00EF2861">
        <w:rPr>
          <w:rFonts w:ascii="Open Sans" w:eastAsia="Times New Roman" w:hAnsi="Open Sans" w:cs="Open Sans"/>
          <w:color w:val="333333"/>
          <w:sz w:val="21"/>
          <w:szCs w:val="21"/>
          <w:lang w:val="es-ES" w:eastAsia="es-ES"/>
        </w:rPr>
        <w:t>, y su operatividad quedo patente en el breve periodo de tiempo que transcurrió desde el inicio del mandato de quien impulso este proyecto, el exalcalde José Emilio García Gómez, hasta su finalización en 1995, en ese corto espacio de tiempo de apenas dos años de vida, se pusieron en funcionamiento un gran número de planes parciales, reduciendo considerablemente el tiempo de tramitación de las licencias de obra, apertura y proyectos de urbanización.</w:t>
      </w:r>
    </w:p>
    <w:p w14:paraId="00A355AF" w14:textId="77777777" w:rsidR="00EF2861" w:rsidRPr="00EF2861" w:rsidRDefault="00EF2861" w:rsidP="00EF2861">
      <w:pPr>
        <w:shd w:val="clear" w:color="auto" w:fill="FFFFFF"/>
        <w:spacing w:after="300" w:line="360" w:lineRule="atLeast"/>
        <w:jc w:val="both"/>
        <w:rPr>
          <w:rFonts w:ascii="Open Sans" w:eastAsia="Times New Roman" w:hAnsi="Open Sans" w:cs="Open Sans"/>
          <w:color w:val="333333"/>
          <w:sz w:val="21"/>
          <w:szCs w:val="21"/>
          <w:lang w:val="es-ES" w:eastAsia="es-ES"/>
        </w:rPr>
      </w:pPr>
      <w:r w:rsidRPr="00EF2861">
        <w:rPr>
          <w:rFonts w:ascii="Open Sans" w:eastAsia="Times New Roman" w:hAnsi="Open Sans" w:cs="Open Sans"/>
          <w:color w:val="333333"/>
          <w:sz w:val="21"/>
          <w:szCs w:val="21"/>
          <w:lang w:val="es-ES" w:eastAsia="es-ES"/>
        </w:rPr>
        <w:t>Posteriormente y a raíz de la entrada en vigor de un nuevo marco legislativo se acomete la elaboración de los trabajos para la redacción del Texto Refundido de la Modificación del Plan General de Ordenación Urbana de 1992 y Adaptación Básica al Decreto Legislativo 1/2000 (PGOU-05), que fue aprobado definitivamente, de forma parcial, por Acuerdo de la COTMAC en sesión celebrada el día 30 de noviembre de 2005.</w:t>
      </w:r>
    </w:p>
    <w:p w14:paraId="151AC5BC" w14:textId="77777777" w:rsidR="00EF2861" w:rsidRPr="00EF2861" w:rsidRDefault="00EF2861" w:rsidP="00EF2861">
      <w:pPr>
        <w:shd w:val="clear" w:color="auto" w:fill="FFFFFF"/>
        <w:spacing w:after="300" w:line="360" w:lineRule="atLeast"/>
        <w:jc w:val="both"/>
        <w:rPr>
          <w:rFonts w:ascii="Open Sans" w:eastAsia="Times New Roman" w:hAnsi="Open Sans" w:cs="Open Sans"/>
          <w:color w:val="333333"/>
          <w:sz w:val="21"/>
          <w:szCs w:val="21"/>
          <w:lang w:val="es-ES" w:eastAsia="es-ES"/>
        </w:rPr>
      </w:pPr>
      <w:r w:rsidRPr="00EF2861">
        <w:rPr>
          <w:rFonts w:ascii="Open Sans" w:eastAsia="Times New Roman" w:hAnsi="Open Sans" w:cs="Open Sans"/>
          <w:color w:val="333333"/>
          <w:sz w:val="21"/>
          <w:szCs w:val="21"/>
          <w:lang w:val="es-ES" w:eastAsia="es-ES"/>
        </w:rPr>
        <w:t>La Revisión del Plan General de Ordenación de Santa Cruz de Tenerife (PGO-13), fue aprobada definitivamente y de forma parcial por Acuerdo de la COTMAC de 30 de julio de 2013, si bien, mediante Sentencia del Tribunal Superior de Justicia de Canarias n.º 200/2017, de 21 de julio de 2017, se declara su nulidad radical, lo cual determinará que tras la publicación de la citada resolución judicial, entre de nuevo en vigor la Adaptación Básica al Decreto Legislativo 1/2000 (PGOU-05).</w:t>
      </w:r>
      <w:r w:rsidRPr="00EF2861">
        <w:rPr>
          <w:rFonts w:ascii="Open Sans" w:eastAsia="Times New Roman" w:hAnsi="Open Sans" w:cs="Open Sans"/>
          <w:color w:val="333333"/>
          <w:sz w:val="21"/>
          <w:szCs w:val="21"/>
          <w:lang w:val="es-ES" w:eastAsia="es-ES"/>
        </w:rPr>
        <w:br/>
        <w:t>Desde finales de 2018, se está trabajando en la redacción de un nuevo Plan General de Ordenación y del nuevo Catálogo de Patrimonio Cultural de la Ciudad. A este respecto, la Comisión Autonómica de Evaluación Ambiental, en sesión celebrada el 3 de diciembre de 2020, adoptó el Acuerdo de formular el Documento de Alcance del Estudio Ambiental Estratégico del Plan General de Ordenación de Santa Cruz de Tenerife, que, de conformidad con el artículo 19.3 de la Ley 21/2013, de 9 de diciembre, de Evaluación Ambiental, y con el artículo 143.8 de la Ley 4/2017, de 13 de julio, del Suelo y de los Espacios Naturales Protegidos de Canarias, se pone a disposición del público, pudiendo ser consultado adjunto a este anuncio o nuestra sección de Planeamiento. Consulte el documento en </w:t>
      </w:r>
      <w:hyperlink r:id="rId5" w:tgtFrame="_blank" w:history="1">
        <w:r w:rsidRPr="00EF2861">
          <w:rPr>
            <w:rFonts w:ascii="Open Sans" w:eastAsia="Times New Roman" w:hAnsi="Open Sans" w:cs="Open Sans"/>
            <w:color w:val="1368AD"/>
            <w:sz w:val="21"/>
            <w:szCs w:val="21"/>
            <w:u w:val="single"/>
            <w:lang w:val="es-ES" w:eastAsia="es-ES"/>
          </w:rPr>
          <w:t>este enlace</w:t>
        </w:r>
      </w:hyperlink>
      <w:r w:rsidRPr="00EF2861">
        <w:rPr>
          <w:rFonts w:ascii="Open Sans" w:eastAsia="Times New Roman" w:hAnsi="Open Sans" w:cs="Open Sans"/>
          <w:color w:val="333333"/>
          <w:sz w:val="21"/>
          <w:szCs w:val="21"/>
          <w:lang w:val="es-ES" w:eastAsia="es-ES"/>
        </w:rPr>
        <w:t>.</w:t>
      </w:r>
    </w:p>
    <w:p w14:paraId="3F2088C0" w14:textId="77777777" w:rsidR="00EF2861" w:rsidRPr="00EF2861" w:rsidRDefault="00EF2861" w:rsidP="00EF2861">
      <w:pPr>
        <w:shd w:val="clear" w:color="auto" w:fill="FFFFFF"/>
        <w:spacing w:after="300" w:line="360" w:lineRule="atLeast"/>
        <w:jc w:val="right"/>
        <w:rPr>
          <w:rFonts w:ascii="Open Sans" w:eastAsia="Times New Roman" w:hAnsi="Open Sans" w:cs="Open Sans"/>
          <w:color w:val="333333"/>
          <w:sz w:val="24"/>
          <w:szCs w:val="24"/>
          <w:lang w:val="es-ES" w:eastAsia="es-ES"/>
        </w:rPr>
      </w:pPr>
      <w:r w:rsidRPr="00EF2861">
        <w:rPr>
          <w:rFonts w:ascii="Open Sans" w:eastAsia="Times New Roman" w:hAnsi="Open Sans" w:cs="Open Sans"/>
          <w:b/>
          <w:bCs/>
          <w:color w:val="333333"/>
          <w:sz w:val="24"/>
          <w:szCs w:val="24"/>
          <w:vertAlign w:val="subscript"/>
          <w:lang w:val="es-ES" w:eastAsia="es-ES"/>
        </w:rPr>
        <w:t>Fuentes:</w:t>
      </w:r>
      <w:r w:rsidRPr="00EF2861">
        <w:rPr>
          <w:rFonts w:ascii="Open Sans" w:eastAsia="Times New Roman" w:hAnsi="Open Sans" w:cs="Open Sans"/>
          <w:color w:val="333333"/>
          <w:sz w:val="24"/>
          <w:szCs w:val="24"/>
          <w:lang w:val="es-ES" w:eastAsia="es-ES"/>
        </w:rPr>
        <w:br/>
      </w:r>
      <w:r w:rsidRPr="00EF2861">
        <w:rPr>
          <w:rFonts w:ascii="Open Sans" w:eastAsia="Times New Roman" w:hAnsi="Open Sans" w:cs="Open Sans"/>
          <w:b/>
          <w:bCs/>
          <w:i/>
          <w:iCs/>
          <w:color w:val="333333"/>
          <w:sz w:val="24"/>
          <w:szCs w:val="24"/>
          <w:vertAlign w:val="subscript"/>
          <w:lang w:val="es-ES" w:eastAsia="es-ES"/>
        </w:rPr>
        <w:t>"Hechos y no palabras" </w:t>
      </w:r>
      <w:r w:rsidRPr="00EF2861">
        <w:rPr>
          <w:rFonts w:ascii="Open Sans" w:eastAsia="Times New Roman" w:hAnsi="Open Sans" w:cs="Open Sans"/>
          <w:i/>
          <w:iCs/>
          <w:color w:val="333333"/>
          <w:sz w:val="24"/>
          <w:szCs w:val="24"/>
          <w:vertAlign w:val="subscript"/>
          <w:lang w:val="es-ES" w:eastAsia="es-ES"/>
        </w:rPr>
        <w:t>(1995)</w:t>
      </w:r>
      <w:r w:rsidRPr="00EF2861">
        <w:rPr>
          <w:rFonts w:ascii="Open Sans" w:eastAsia="Times New Roman" w:hAnsi="Open Sans" w:cs="Open Sans"/>
          <w:color w:val="333333"/>
          <w:sz w:val="24"/>
          <w:szCs w:val="24"/>
          <w:vertAlign w:val="subscript"/>
          <w:lang w:val="es-ES" w:eastAsia="es-ES"/>
        </w:rPr>
        <w:t> </w:t>
      </w:r>
      <w:r w:rsidRPr="00EF2861">
        <w:rPr>
          <w:rFonts w:ascii="Open Sans" w:eastAsia="Times New Roman" w:hAnsi="Open Sans" w:cs="Open Sans"/>
          <w:i/>
          <w:iCs/>
          <w:color w:val="333333"/>
          <w:sz w:val="24"/>
          <w:szCs w:val="24"/>
          <w:vertAlign w:val="subscript"/>
          <w:lang w:val="es-ES" w:eastAsia="es-ES"/>
        </w:rPr>
        <w:t>Jose Emilio García Gómez</w:t>
      </w:r>
      <w:r w:rsidRPr="00EF2861">
        <w:rPr>
          <w:rFonts w:ascii="Open Sans" w:eastAsia="Times New Roman" w:hAnsi="Open Sans" w:cs="Open Sans"/>
          <w:color w:val="333333"/>
          <w:sz w:val="24"/>
          <w:szCs w:val="24"/>
          <w:lang w:val="es-ES" w:eastAsia="es-ES"/>
        </w:rPr>
        <w:br/>
      </w:r>
      <w:r w:rsidRPr="00EF2861">
        <w:rPr>
          <w:rFonts w:ascii="Open Sans" w:eastAsia="Times New Roman" w:hAnsi="Open Sans" w:cs="Open Sans"/>
          <w:b/>
          <w:bCs/>
          <w:i/>
          <w:iCs/>
          <w:color w:val="333333"/>
          <w:sz w:val="24"/>
          <w:szCs w:val="24"/>
          <w:vertAlign w:val="subscript"/>
          <w:lang w:val="es-ES" w:eastAsia="es-ES"/>
        </w:rPr>
        <w:t>"Historia de Santa Cruz" </w:t>
      </w:r>
      <w:r w:rsidRPr="00EF2861">
        <w:rPr>
          <w:rFonts w:ascii="Open Sans" w:eastAsia="Times New Roman" w:hAnsi="Open Sans" w:cs="Open Sans"/>
          <w:i/>
          <w:iCs/>
          <w:color w:val="333333"/>
          <w:sz w:val="24"/>
          <w:szCs w:val="24"/>
          <w:vertAlign w:val="subscript"/>
          <w:lang w:val="es-ES" w:eastAsia="es-ES"/>
        </w:rPr>
        <w:t xml:space="preserve">(1979) Alejandro </w:t>
      </w:r>
      <w:proofErr w:type="spellStart"/>
      <w:r w:rsidRPr="00EF2861">
        <w:rPr>
          <w:rFonts w:ascii="Open Sans" w:eastAsia="Times New Roman" w:hAnsi="Open Sans" w:cs="Open Sans"/>
          <w:i/>
          <w:iCs/>
          <w:color w:val="333333"/>
          <w:sz w:val="24"/>
          <w:szCs w:val="24"/>
          <w:vertAlign w:val="subscript"/>
          <w:lang w:val="es-ES" w:eastAsia="es-ES"/>
        </w:rPr>
        <w:t>Cioranescu</w:t>
      </w:r>
      <w:proofErr w:type="spellEnd"/>
    </w:p>
    <w:p w14:paraId="0B796858" w14:textId="77777777" w:rsidR="00DC46E8" w:rsidRPr="00DC46E8" w:rsidRDefault="00DC46E8" w:rsidP="00DC46E8">
      <w:pPr>
        <w:shd w:val="clear" w:color="auto" w:fill="FFFFFF"/>
        <w:spacing w:after="480" w:line="630" w:lineRule="atLeast"/>
        <w:jc w:val="both"/>
        <w:outlineLvl w:val="1"/>
        <w:rPr>
          <w:rFonts w:ascii="Open Sans" w:eastAsia="Times New Roman" w:hAnsi="Open Sans" w:cs="Open Sans"/>
          <w:color w:val="333333"/>
          <w:spacing w:val="-15"/>
          <w:sz w:val="53"/>
          <w:szCs w:val="53"/>
          <w:lang w:eastAsia="es-ES_tradnl"/>
        </w:rPr>
      </w:pPr>
      <w:r w:rsidRPr="00DC46E8">
        <w:rPr>
          <w:rFonts w:ascii="Open Sans" w:eastAsia="Times New Roman" w:hAnsi="Open Sans" w:cs="Open Sans"/>
          <w:color w:val="333333"/>
          <w:spacing w:val="-15"/>
          <w:sz w:val="53"/>
          <w:szCs w:val="53"/>
          <w:lang w:eastAsia="es-ES_tradnl"/>
        </w:rPr>
        <w:lastRenderedPageBreak/>
        <w:t>Objetivos de </w:t>
      </w:r>
      <w:r w:rsidRPr="00DC46E8">
        <w:rPr>
          <w:rFonts w:ascii="Open Sans" w:eastAsia="Times New Roman" w:hAnsi="Open Sans" w:cs="Open Sans"/>
          <w:b/>
          <w:bCs/>
          <w:color w:val="333333"/>
          <w:spacing w:val="-15"/>
          <w:sz w:val="53"/>
          <w:szCs w:val="53"/>
          <w:lang w:eastAsia="es-ES_tradnl"/>
        </w:rPr>
        <w:t>La Gerencia de Urbanismo</w:t>
      </w:r>
    </w:p>
    <w:p w14:paraId="4BA4A620" w14:textId="77777777" w:rsidR="00DC46E8" w:rsidRPr="00DC46E8" w:rsidRDefault="00DC46E8" w:rsidP="00DC46E8">
      <w:pPr>
        <w:shd w:val="clear" w:color="auto" w:fill="FFFFFF"/>
        <w:spacing w:after="300" w:line="360" w:lineRule="atLeast"/>
        <w:jc w:val="both"/>
        <w:rPr>
          <w:rFonts w:ascii="Open Sans" w:eastAsia="Times New Roman" w:hAnsi="Open Sans" w:cs="Open Sans"/>
          <w:color w:val="333333"/>
          <w:sz w:val="21"/>
          <w:szCs w:val="21"/>
          <w:lang w:eastAsia="es-ES_tradnl"/>
        </w:rPr>
      </w:pPr>
      <w:r w:rsidRPr="00DC46E8">
        <w:rPr>
          <w:rFonts w:ascii="Open Sans" w:eastAsia="Times New Roman" w:hAnsi="Open Sans" w:cs="Open Sans"/>
          <w:color w:val="333333"/>
          <w:sz w:val="21"/>
          <w:szCs w:val="21"/>
          <w:lang w:eastAsia="es-ES_tradnl"/>
        </w:rPr>
        <w:t>La Gerencia Municipal de Urbanismo del Ayuntamiento de Santa Cruz de Tenerife se crea en el año 1.993 para la gestión directa de los servicios públicos urbanísticos y los conexos con éstos: el planeamiento, las autorizaciones y la disciplina urbanística, de manera continuada, y en materia de infraestructuras, proyectos y obras municipales y políticas de vivienda en algunos mandatos políticos. La Gerencia , en el marco de sus competencias en materia de planeamiento y gestión urbanística, disciplina y autorizaciones de obras y actividades, tiene como propósito ser una administración útil, eficaz y ágil que contribuya al progreso social, económico y ambiental de la ciudad, resolviendo con eficacia y rapidez los problemas y demandas de la ciudadanía, a la vez que nos convertimos en un modelo de gestión y transparencia para otras administraciones, en consonancia con los retos señalados por la </w:t>
      </w:r>
      <w:r w:rsidRPr="00DC46E8">
        <w:rPr>
          <w:rFonts w:ascii="Open Sans" w:eastAsia="Times New Roman" w:hAnsi="Open Sans" w:cs="Open Sans"/>
          <w:b/>
          <w:bCs/>
          <w:color w:val="333333"/>
          <w:sz w:val="21"/>
          <w:szCs w:val="21"/>
          <w:lang w:eastAsia="es-ES_tradnl"/>
        </w:rPr>
        <w:t>Estrategia Europea 2020</w:t>
      </w:r>
      <w:r w:rsidRPr="00DC46E8">
        <w:rPr>
          <w:rFonts w:ascii="Open Sans" w:eastAsia="Times New Roman" w:hAnsi="Open Sans" w:cs="Open Sans"/>
          <w:color w:val="333333"/>
          <w:sz w:val="21"/>
          <w:szCs w:val="21"/>
          <w:lang w:eastAsia="es-ES_tradnl"/>
        </w:rPr>
        <w:t> para las </w:t>
      </w:r>
      <w:r w:rsidRPr="00DC46E8">
        <w:rPr>
          <w:rFonts w:ascii="Open Sans" w:eastAsia="Times New Roman" w:hAnsi="Open Sans" w:cs="Open Sans"/>
          <w:b/>
          <w:bCs/>
          <w:color w:val="333333"/>
          <w:sz w:val="21"/>
          <w:szCs w:val="21"/>
          <w:lang w:eastAsia="es-ES_tradnl"/>
        </w:rPr>
        <w:t>Ciudades Inteligentes, Sostenibles e Integradas</w:t>
      </w:r>
      <w:r w:rsidRPr="00DC46E8">
        <w:rPr>
          <w:rFonts w:ascii="Open Sans" w:eastAsia="Times New Roman" w:hAnsi="Open Sans" w:cs="Open Sans"/>
          <w:color w:val="333333"/>
          <w:sz w:val="21"/>
          <w:szCs w:val="21"/>
          <w:lang w:eastAsia="es-ES_tradnl"/>
        </w:rPr>
        <w:t>.</w:t>
      </w:r>
    </w:p>
    <w:p w14:paraId="0685EF46" w14:textId="77777777" w:rsidR="00DC46E8" w:rsidRPr="00DC46E8" w:rsidRDefault="00DC46E8" w:rsidP="00DC46E8">
      <w:pPr>
        <w:shd w:val="clear" w:color="auto" w:fill="FFFFFF"/>
        <w:spacing w:after="300" w:line="360" w:lineRule="atLeast"/>
        <w:rPr>
          <w:rFonts w:ascii="Open Sans" w:eastAsia="Times New Roman" w:hAnsi="Open Sans" w:cs="Open Sans"/>
          <w:color w:val="333333"/>
          <w:sz w:val="21"/>
          <w:szCs w:val="21"/>
          <w:lang w:eastAsia="es-ES_tradnl"/>
        </w:rPr>
      </w:pPr>
      <w:r w:rsidRPr="00DC46E8">
        <w:rPr>
          <w:rFonts w:ascii="Open Sans" w:eastAsia="Times New Roman" w:hAnsi="Open Sans" w:cs="Open Sans"/>
          <w:color w:val="333333"/>
          <w:sz w:val="21"/>
          <w:szCs w:val="21"/>
          <w:lang w:eastAsia="es-ES_tradnl"/>
        </w:rPr>
        <w:t>Para ello la Gerencia se encuentra en un proceso de transformación digital y mejora organizativa orientado a la modernización y la eficiencia en la gestión administrativa para prestar un mejor servicio a la ciudadanía y a la ciudad. Todos los proyectos que se están desarrollando en materia de: incorporación de las tecnologías de la información y la comunicación, simplificación administrativa, seguridad informática y protección de datos, gestión del conocimiento, orientación a resultados y formación del personal, adaptación de nuestras instalaciones y muchos otros proyectos, tienen como finalidad prestar un servicio de calidad y eficaz.</w:t>
      </w:r>
    </w:p>
    <w:p w14:paraId="5B38F525" w14:textId="77777777" w:rsidR="00DC46E8" w:rsidRPr="00DC46E8" w:rsidRDefault="00DC46E8" w:rsidP="00DC46E8">
      <w:pPr>
        <w:shd w:val="clear" w:color="auto" w:fill="FFFFFF"/>
        <w:spacing w:after="300" w:line="360" w:lineRule="atLeast"/>
        <w:rPr>
          <w:rFonts w:ascii="Open Sans" w:eastAsia="Times New Roman" w:hAnsi="Open Sans" w:cs="Open Sans"/>
          <w:color w:val="333333"/>
          <w:sz w:val="21"/>
          <w:szCs w:val="21"/>
          <w:lang w:eastAsia="es-ES_tradnl"/>
        </w:rPr>
      </w:pPr>
      <w:r w:rsidRPr="00DC46E8">
        <w:rPr>
          <w:rFonts w:ascii="Open Sans" w:eastAsia="Times New Roman" w:hAnsi="Open Sans" w:cs="Open Sans"/>
          <w:color w:val="333333"/>
          <w:sz w:val="21"/>
          <w:szCs w:val="21"/>
          <w:lang w:eastAsia="es-ES_tradnl"/>
        </w:rPr>
        <w:t xml:space="preserve">Escuchar permanentemente y en encuestas anuales las demandas y opiniones de los usuarios de nuestros servicios, constituye un elemento vital en la planificación de nuestras acciones de mejora con la intención de atender sus necesidades, simplificar la forma de gestionarlas y anticiparnos a la resolución de </w:t>
      </w:r>
      <w:proofErr w:type="gramStart"/>
      <w:r w:rsidRPr="00DC46E8">
        <w:rPr>
          <w:rFonts w:ascii="Open Sans" w:eastAsia="Times New Roman" w:hAnsi="Open Sans" w:cs="Open Sans"/>
          <w:color w:val="333333"/>
          <w:sz w:val="21"/>
          <w:szCs w:val="21"/>
          <w:lang w:eastAsia="es-ES_tradnl"/>
        </w:rPr>
        <w:t>las mismas</w:t>
      </w:r>
      <w:proofErr w:type="gramEnd"/>
      <w:r w:rsidRPr="00DC46E8">
        <w:rPr>
          <w:rFonts w:ascii="Open Sans" w:eastAsia="Times New Roman" w:hAnsi="Open Sans" w:cs="Open Sans"/>
          <w:color w:val="333333"/>
          <w:sz w:val="21"/>
          <w:szCs w:val="21"/>
          <w:lang w:eastAsia="es-ES_tradnl"/>
        </w:rPr>
        <w:t>.</w:t>
      </w:r>
    </w:p>
    <w:p w14:paraId="3321666E" w14:textId="67C662C6" w:rsidR="00DC46E8" w:rsidRPr="00DC46E8" w:rsidRDefault="00EF2861" w:rsidP="00DC46E8">
      <w:pPr>
        <w:shd w:val="clear" w:color="auto" w:fill="FFFFFF"/>
        <w:spacing w:after="480" w:line="630" w:lineRule="atLeast"/>
        <w:outlineLvl w:val="1"/>
        <w:rPr>
          <w:rFonts w:ascii="Open Sans" w:eastAsia="Times New Roman" w:hAnsi="Open Sans" w:cs="Open Sans"/>
          <w:color w:val="333333"/>
          <w:spacing w:val="-15"/>
          <w:sz w:val="53"/>
          <w:szCs w:val="53"/>
          <w:lang w:eastAsia="es-ES_tradnl"/>
        </w:rPr>
      </w:pPr>
      <w:r>
        <w:rPr>
          <w:rFonts w:ascii="Open Sans" w:eastAsia="Times New Roman" w:hAnsi="Open Sans" w:cs="Open Sans"/>
          <w:color w:val="333333"/>
          <w:spacing w:val="-15"/>
          <w:sz w:val="53"/>
          <w:szCs w:val="53"/>
          <w:lang w:eastAsia="es-ES_tradnl"/>
        </w:rPr>
        <w:br w:type="page"/>
      </w:r>
      <w:r w:rsidR="00DC46E8" w:rsidRPr="00DC46E8">
        <w:rPr>
          <w:rFonts w:ascii="Open Sans" w:eastAsia="Times New Roman" w:hAnsi="Open Sans" w:cs="Open Sans"/>
          <w:color w:val="333333"/>
          <w:spacing w:val="-15"/>
          <w:sz w:val="53"/>
          <w:szCs w:val="53"/>
          <w:lang w:eastAsia="es-ES_tradnl"/>
        </w:rPr>
        <w:lastRenderedPageBreak/>
        <w:t>Funciones de </w:t>
      </w:r>
      <w:r w:rsidR="00DC46E8" w:rsidRPr="00DC46E8">
        <w:rPr>
          <w:rFonts w:ascii="Open Sans" w:eastAsia="Times New Roman" w:hAnsi="Open Sans" w:cs="Open Sans"/>
          <w:b/>
          <w:bCs/>
          <w:color w:val="333333"/>
          <w:spacing w:val="-15"/>
          <w:sz w:val="53"/>
          <w:szCs w:val="53"/>
          <w:lang w:eastAsia="es-ES_tradnl"/>
        </w:rPr>
        <w:t>La Gerencia de Urbanismo</w:t>
      </w:r>
    </w:p>
    <w:p w14:paraId="23636992" w14:textId="77777777" w:rsidR="00DC46E8" w:rsidRDefault="00000000" w:rsidP="00DC46E8">
      <w:pPr>
        <w:pStyle w:val="Ttulo4"/>
        <w:shd w:val="clear" w:color="auto" w:fill="F5F5F5"/>
        <w:spacing w:before="0" w:line="405" w:lineRule="atLeast"/>
        <w:rPr>
          <w:rFonts w:ascii="inherit" w:hAnsi="inherit" w:cs="Open Sans"/>
          <w:color w:val="333333"/>
        </w:rPr>
      </w:pPr>
      <w:hyperlink r:id="rId6" w:anchor="collapse1" w:history="1">
        <w:r w:rsidR="00DC46E8">
          <w:rPr>
            <w:rStyle w:val="Hipervnculo"/>
            <w:rFonts w:ascii="inherit" w:hAnsi="inherit" w:cs="Open Sans"/>
            <w:b/>
            <w:bCs/>
            <w:color w:val="3F8FCF"/>
          </w:rPr>
          <w:t>Competencias de </w:t>
        </w:r>
        <w:r w:rsidR="00DC46E8">
          <w:rPr>
            <w:rStyle w:val="Textoennegrita"/>
            <w:rFonts w:ascii="inherit" w:hAnsi="inherit" w:cs="Open Sans"/>
            <w:b w:val="0"/>
            <w:bCs w:val="0"/>
            <w:color w:val="3F8FCF"/>
          </w:rPr>
          <w:t>Estudio y Preparación de acuerdos de Competencia Municipal</w:t>
        </w:r>
      </w:hyperlink>
    </w:p>
    <w:p w14:paraId="37D5D730" w14:textId="77777777" w:rsidR="00DC46E8" w:rsidRDefault="00DC46E8" w:rsidP="00DC46E8">
      <w:pPr>
        <w:pStyle w:val="text-align-justify"/>
        <w:numPr>
          <w:ilvl w:val="0"/>
          <w:numId w:val="1"/>
        </w:numPr>
        <w:spacing w:line="360" w:lineRule="atLeast"/>
        <w:jc w:val="both"/>
        <w:rPr>
          <w:rFonts w:ascii="Open Sans" w:hAnsi="Open Sans" w:cs="Open Sans"/>
          <w:color w:val="333333"/>
          <w:sz w:val="21"/>
          <w:szCs w:val="21"/>
        </w:rPr>
      </w:pPr>
      <w:r>
        <w:rPr>
          <w:rFonts w:ascii="Open Sans" w:hAnsi="Open Sans" w:cs="Open Sans"/>
          <w:color w:val="333333"/>
          <w:sz w:val="21"/>
          <w:szCs w:val="21"/>
        </w:rPr>
        <w:t>Realizar estudios, análisis e investigaciones sobre el desarrollo urbanístico del término municipal.</w:t>
      </w:r>
    </w:p>
    <w:p w14:paraId="21AD1B6A" w14:textId="77777777" w:rsidR="00DC46E8" w:rsidRDefault="00DC46E8" w:rsidP="00DC46E8">
      <w:pPr>
        <w:pStyle w:val="text-align-justify"/>
        <w:numPr>
          <w:ilvl w:val="0"/>
          <w:numId w:val="1"/>
        </w:numPr>
        <w:spacing w:line="360" w:lineRule="atLeast"/>
        <w:jc w:val="both"/>
        <w:rPr>
          <w:rFonts w:ascii="Open Sans" w:hAnsi="Open Sans" w:cs="Open Sans"/>
          <w:color w:val="333333"/>
          <w:sz w:val="21"/>
          <w:szCs w:val="21"/>
        </w:rPr>
      </w:pPr>
      <w:r>
        <w:rPr>
          <w:rFonts w:ascii="Open Sans" w:hAnsi="Open Sans" w:cs="Open Sans"/>
          <w:color w:val="333333"/>
          <w:sz w:val="21"/>
          <w:szCs w:val="21"/>
        </w:rPr>
        <w:t>Elaborar y proponer la aprobación e Planes de Ordenación Urbanística, así como las ordenanzas municipales relacionadas con las materias que se le atribuyen.</w:t>
      </w:r>
    </w:p>
    <w:p w14:paraId="09017639" w14:textId="77777777" w:rsidR="00DC46E8" w:rsidRDefault="00DC46E8" w:rsidP="00DC46E8">
      <w:pPr>
        <w:pStyle w:val="text-align-justify"/>
        <w:numPr>
          <w:ilvl w:val="0"/>
          <w:numId w:val="1"/>
        </w:numPr>
        <w:spacing w:line="360" w:lineRule="atLeast"/>
        <w:jc w:val="both"/>
        <w:rPr>
          <w:rFonts w:ascii="Open Sans" w:hAnsi="Open Sans" w:cs="Open Sans"/>
          <w:color w:val="333333"/>
          <w:sz w:val="21"/>
          <w:szCs w:val="21"/>
        </w:rPr>
      </w:pPr>
      <w:r>
        <w:rPr>
          <w:rFonts w:ascii="Open Sans" w:hAnsi="Open Sans" w:cs="Open Sans"/>
          <w:color w:val="333333"/>
          <w:sz w:val="21"/>
          <w:szCs w:val="21"/>
        </w:rPr>
        <w:t>Preparar y proponer la aprobación de cualquier clase de documentos y proyectos de índole urbanística que deba formular el Ayuntamiento.</w:t>
      </w:r>
    </w:p>
    <w:p w14:paraId="18210B7A" w14:textId="77777777" w:rsidR="00DC46E8" w:rsidRDefault="00DC46E8" w:rsidP="00DC46E8">
      <w:pPr>
        <w:pStyle w:val="text-align-justify"/>
        <w:numPr>
          <w:ilvl w:val="0"/>
          <w:numId w:val="1"/>
        </w:numPr>
        <w:spacing w:line="360" w:lineRule="atLeast"/>
        <w:jc w:val="both"/>
        <w:rPr>
          <w:rFonts w:ascii="Open Sans" w:hAnsi="Open Sans" w:cs="Open Sans"/>
          <w:color w:val="333333"/>
          <w:sz w:val="21"/>
          <w:szCs w:val="21"/>
        </w:rPr>
      </w:pPr>
      <w:r>
        <w:rPr>
          <w:rFonts w:ascii="Open Sans" w:hAnsi="Open Sans" w:cs="Open Sans"/>
          <w:color w:val="333333"/>
          <w:sz w:val="21"/>
          <w:szCs w:val="21"/>
        </w:rPr>
        <w:t>Gestionar las competencias municipales en la fijación de valores catastrales de los inmuebles urbanos.</w:t>
      </w:r>
    </w:p>
    <w:p w14:paraId="46C20596" w14:textId="77777777" w:rsidR="00DC46E8" w:rsidRDefault="00DC46E8" w:rsidP="00DC46E8">
      <w:pPr>
        <w:pStyle w:val="text-align-justify"/>
        <w:numPr>
          <w:ilvl w:val="0"/>
          <w:numId w:val="1"/>
        </w:numPr>
        <w:spacing w:line="360" w:lineRule="atLeast"/>
        <w:jc w:val="both"/>
        <w:rPr>
          <w:rFonts w:ascii="Open Sans" w:hAnsi="Open Sans" w:cs="Open Sans"/>
          <w:color w:val="333333"/>
          <w:sz w:val="21"/>
          <w:szCs w:val="21"/>
        </w:rPr>
      </w:pPr>
      <w:r>
        <w:rPr>
          <w:rFonts w:ascii="Open Sans" w:hAnsi="Open Sans" w:cs="Open Sans"/>
          <w:color w:val="333333"/>
          <w:sz w:val="21"/>
          <w:szCs w:val="21"/>
        </w:rPr>
        <w:t>Preparar y autorizar, de acuerdo con lo previsto en las leyes, convenios con otras Administraciones o particulares para la realización de actuaciones de interés mutuo, con o sin creación de entidades con personalidad jurídica propia.</w:t>
      </w:r>
    </w:p>
    <w:p w14:paraId="1C5D2329" w14:textId="77777777" w:rsidR="00DC46E8" w:rsidRDefault="00DC46E8" w:rsidP="00DC46E8">
      <w:pPr>
        <w:pStyle w:val="text-align-justify"/>
        <w:numPr>
          <w:ilvl w:val="0"/>
          <w:numId w:val="1"/>
        </w:numPr>
        <w:spacing w:line="360" w:lineRule="atLeast"/>
        <w:jc w:val="both"/>
        <w:rPr>
          <w:rFonts w:ascii="Open Sans" w:hAnsi="Open Sans" w:cs="Open Sans"/>
          <w:color w:val="333333"/>
          <w:sz w:val="21"/>
          <w:szCs w:val="21"/>
        </w:rPr>
      </w:pPr>
      <w:r>
        <w:rPr>
          <w:rFonts w:ascii="Open Sans" w:hAnsi="Open Sans" w:cs="Open Sans"/>
          <w:color w:val="333333"/>
          <w:sz w:val="21"/>
          <w:szCs w:val="21"/>
        </w:rPr>
        <w:t>Proponer la implantación y modificación de ordenanzas fiscales en las materias propias de su esfera de actuación.</w:t>
      </w:r>
    </w:p>
    <w:p w14:paraId="3C1AA34D" w14:textId="77777777" w:rsidR="00DC46E8" w:rsidRDefault="00000000" w:rsidP="00DC46E8">
      <w:pPr>
        <w:pStyle w:val="Ttulo4"/>
        <w:shd w:val="clear" w:color="auto" w:fill="F5F5F5"/>
        <w:spacing w:before="0" w:line="405" w:lineRule="atLeast"/>
        <w:rPr>
          <w:rFonts w:ascii="inherit" w:hAnsi="inherit" w:cs="Open Sans"/>
          <w:color w:val="333333"/>
        </w:rPr>
      </w:pPr>
      <w:hyperlink r:id="rId7" w:anchor="collapse2" w:history="1">
        <w:r w:rsidR="00DC46E8">
          <w:rPr>
            <w:rStyle w:val="Hipervnculo"/>
            <w:rFonts w:ascii="inherit" w:hAnsi="inherit" w:cs="Open Sans"/>
            <w:b/>
            <w:bCs/>
            <w:color w:val="3F8FCF"/>
          </w:rPr>
          <w:t>Competencias relativas al </w:t>
        </w:r>
        <w:r w:rsidR="00DC46E8">
          <w:rPr>
            <w:rStyle w:val="Textoennegrita"/>
            <w:rFonts w:ascii="inherit" w:hAnsi="inherit" w:cs="Open Sans"/>
            <w:b w:val="0"/>
            <w:bCs w:val="0"/>
            <w:color w:val="3F8FCF"/>
          </w:rPr>
          <w:t>Desarrollo de Funciones Decisorias y de Ejecución</w:t>
        </w:r>
      </w:hyperlink>
    </w:p>
    <w:p w14:paraId="64F79EC8" w14:textId="77777777" w:rsidR="00DC46E8" w:rsidRDefault="00DC46E8" w:rsidP="00DC46E8">
      <w:pPr>
        <w:pStyle w:val="text-align-justify"/>
        <w:numPr>
          <w:ilvl w:val="0"/>
          <w:numId w:val="2"/>
        </w:numPr>
        <w:spacing w:line="360" w:lineRule="atLeast"/>
        <w:jc w:val="both"/>
        <w:rPr>
          <w:rFonts w:ascii="Open Sans" w:hAnsi="Open Sans" w:cs="Open Sans"/>
          <w:color w:val="333333"/>
          <w:sz w:val="21"/>
          <w:szCs w:val="21"/>
        </w:rPr>
      </w:pPr>
      <w:r>
        <w:rPr>
          <w:rFonts w:ascii="Open Sans" w:hAnsi="Open Sans" w:cs="Open Sans"/>
          <w:color w:val="333333"/>
          <w:sz w:val="21"/>
          <w:szCs w:val="21"/>
        </w:rPr>
        <w:t>La aprobación que no ponga fin a la tramitación municipal de los instrumentos de planeamiento urbanístico de desarrollo y demás instrumentos de ordenación previstos en la legislación urbanística.</w:t>
      </w:r>
    </w:p>
    <w:p w14:paraId="0A934862" w14:textId="77777777" w:rsidR="00DC46E8" w:rsidRDefault="00DC46E8" w:rsidP="00DC46E8">
      <w:pPr>
        <w:pStyle w:val="text-align-justify"/>
        <w:numPr>
          <w:ilvl w:val="0"/>
          <w:numId w:val="2"/>
        </w:numPr>
        <w:spacing w:line="360" w:lineRule="atLeast"/>
        <w:jc w:val="both"/>
        <w:rPr>
          <w:rFonts w:ascii="Open Sans" w:hAnsi="Open Sans" w:cs="Open Sans"/>
          <w:color w:val="333333"/>
          <w:sz w:val="21"/>
          <w:szCs w:val="21"/>
        </w:rPr>
      </w:pPr>
      <w:r>
        <w:rPr>
          <w:rFonts w:ascii="Open Sans" w:hAnsi="Open Sans" w:cs="Open Sans"/>
          <w:color w:val="333333"/>
          <w:sz w:val="21"/>
          <w:szCs w:val="21"/>
        </w:rPr>
        <w:t>Elaborar y aprobar los instrumentos de gestión y de ejecución material de planteamiento, autorizar el cambio de la opción establecida en el planeamiento sobre la ejecución pública o privada; así como ejecutar el planeamiento aprobado, y aprobar y suscribir convenios urbanísticos.</w:t>
      </w:r>
    </w:p>
    <w:p w14:paraId="4F4C9664" w14:textId="77777777" w:rsidR="00DC46E8" w:rsidRDefault="00DC46E8" w:rsidP="00DC46E8">
      <w:pPr>
        <w:pStyle w:val="text-align-justify"/>
        <w:numPr>
          <w:ilvl w:val="0"/>
          <w:numId w:val="2"/>
        </w:numPr>
        <w:spacing w:line="360" w:lineRule="atLeast"/>
        <w:jc w:val="both"/>
        <w:rPr>
          <w:rFonts w:ascii="Open Sans" w:hAnsi="Open Sans" w:cs="Open Sans"/>
          <w:color w:val="333333"/>
          <w:sz w:val="21"/>
          <w:szCs w:val="21"/>
        </w:rPr>
      </w:pPr>
      <w:r>
        <w:rPr>
          <w:rFonts w:ascii="Open Sans" w:hAnsi="Open Sans" w:cs="Open Sans"/>
          <w:color w:val="333333"/>
          <w:sz w:val="21"/>
          <w:szCs w:val="21"/>
        </w:rPr>
        <w:t>La aprobación de proyectos de expropiación forzosa de bienes y derechos afectados por actuaciones urbanísticas.</w:t>
      </w:r>
    </w:p>
    <w:p w14:paraId="48325C69" w14:textId="77777777" w:rsidR="00DC46E8" w:rsidRDefault="00DC46E8" w:rsidP="00DC46E8">
      <w:pPr>
        <w:pStyle w:val="text-align-justify"/>
        <w:numPr>
          <w:ilvl w:val="0"/>
          <w:numId w:val="2"/>
        </w:numPr>
        <w:spacing w:line="360" w:lineRule="atLeast"/>
        <w:jc w:val="both"/>
        <w:rPr>
          <w:rFonts w:ascii="Open Sans" w:hAnsi="Open Sans" w:cs="Open Sans"/>
          <w:color w:val="333333"/>
          <w:sz w:val="21"/>
          <w:szCs w:val="21"/>
        </w:rPr>
      </w:pPr>
      <w:r>
        <w:rPr>
          <w:rFonts w:ascii="Open Sans" w:hAnsi="Open Sans" w:cs="Open Sans"/>
          <w:color w:val="333333"/>
          <w:sz w:val="21"/>
          <w:szCs w:val="21"/>
        </w:rPr>
        <w:t>Ejercer los derechos de tanteo y retracto legalmente previstos cuando así proceda.</w:t>
      </w:r>
    </w:p>
    <w:p w14:paraId="4F0FF911" w14:textId="77777777" w:rsidR="00DC46E8" w:rsidRDefault="00DC46E8" w:rsidP="00DC46E8">
      <w:pPr>
        <w:pStyle w:val="text-align-justify"/>
        <w:numPr>
          <w:ilvl w:val="0"/>
          <w:numId w:val="2"/>
        </w:numPr>
        <w:spacing w:line="360" w:lineRule="atLeast"/>
        <w:jc w:val="both"/>
        <w:rPr>
          <w:rFonts w:ascii="Open Sans" w:hAnsi="Open Sans" w:cs="Open Sans"/>
          <w:color w:val="333333"/>
          <w:sz w:val="21"/>
          <w:szCs w:val="21"/>
        </w:rPr>
      </w:pPr>
      <w:r>
        <w:rPr>
          <w:rFonts w:ascii="Open Sans" w:hAnsi="Open Sans" w:cs="Open Sans"/>
          <w:color w:val="333333"/>
          <w:sz w:val="21"/>
          <w:szCs w:val="21"/>
        </w:rPr>
        <w:t xml:space="preserve">Realizar el seguimiento y evaluación de la ejecución del planteamiento aprobado y del grado de cumplimiento </w:t>
      </w:r>
      <w:proofErr w:type="gramStart"/>
      <w:r>
        <w:rPr>
          <w:rFonts w:ascii="Open Sans" w:hAnsi="Open Sans" w:cs="Open Sans"/>
          <w:color w:val="333333"/>
          <w:sz w:val="21"/>
          <w:szCs w:val="21"/>
        </w:rPr>
        <w:t>del mismo</w:t>
      </w:r>
      <w:proofErr w:type="gramEnd"/>
      <w:r>
        <w:rPr>
          <w:rFonts w:ascii="Open Sans" w:hAnsi="Open Sans" w:cs="Open Sans"/>
          <w:color w:val="333333"/>
          <w:sz w:val="21"/>
          <w:szCs w:val="21"/>
        </w:rPr>
        <w:t>.</w:t>
      </w:r>
    </w:p>
    <w:p w14:paraId="32D2E19C" w14:textId="77777777" w:rsidR="00DC46E8" w:rsidRDefault="00DC46E8" w:rsidP="00DC46E8">
      <w:pPr>
        <w:pStyle w:val="text-align-justify"/>
        <w:numPr>
          <w:ilvl w:val="0"/>
          <w:numId w:val="2"/>
        </w:numPr>
        <w:spacing w:line="360" w:lineRule="atLeast"/>
        <w:jc w:val="both"/>
        <w:rPr>
          <w:rFonts w:ascii="Open Sans" w:hAnsi="Open Sans" w:cs="Open Sans"/>
          <w:color w:val="333333"/>
          <w:sz w:val="21"/>
          <w:szCs w:val="21"/>
        </w:rPr>
      </w:pPr>
      <w:r>
        <w:rPr>
          <w:rFonts w:ascii="Open Sans" w:hAnsi="Open Sans" w:cs="Open Sans"/>
          <w:color w:val="333333"/>
          <w:sz w:val="21"/>
          <w:szCs w:val="21"/>
        </w:rPr>
        <w:lastRenderedPageBreak/>
        <w:t>Realizar y mantener los inventarios, registros y bases de datos que sean precisos para el desarrollo de sus cometidos.</w:t>
      </w:r>
    </w:p>
    <w:p w14:paraId="5F25EEBE" w14:textId="77777777" w:rsidR="00DC46E8" w:rsidRDefault="00DC46E8" w:rsidP="00DC46E8">
      <w:pPr>
        <w:pStyle w:val="text-align-justify"/>
        <w:numPr>
          <w:ilvl w:val="0"/>
          <w:numId w:val="2"/>
        </w:numPr>
        <w:spacing w:line="360" w:lineRule="atLeast"/>
        <w:jc w:val="both"/>
        <w:rPr>
          <w:rFonts w:ascii="Open Sans" w:hAnsi="Open Sans" w:cs="Open Sans"/>
          <w:color w:val="333333"/>
          <w:sz w:val="21"/>
          <w:szCs w:val="21"/>
        </w:rPr>
      </w:pPr>
      <w:r>
        <w:rPr>
          <w:rFonts w:ascii="Open Sans" w:hAnsi="Open Sans" w:cs="Open Sans"/>
          <w:color w:val="333333"/>
          <w:sz w:val="21"/>
          <w:szCs w:val="21"/>
        </w:rPr>
        <w:t>Emitir informes o dictámenes respecto de actuaciones propias de otras administraciones, cuando deba legalmente evacuarlos el municipio, en las materias propias de la Gerencia.</w:t>
      </w:r>
    </w:p>
    <w:p w14:paraId="4D44DD64" w14:textId="77777777" w:rsidR="00DC46E8" w:rsidRDefault="00DC46E8" w:rsidP="00DC46E8">
      <w:pPr>
        <w:pStyle w:val="text-align-justify"/>
        <w:numPr>
          <w:ilvl w:val="0"/>
          <w:numId w:val="2"/>
        </w:numPr>
        <w:spacing w:line="360" w:lineRule="atLeast"/>
        <w:jc w:val="both"/>
        <w:rPr>
          <w:rFonts w:ascii="Open Sans" w:hAnsi="Open Sans" w:cs="Open Sans"/>
          <w:color w:val="333333"/>
          <w:sz w:val="21"/>
          <w:szCs w:val="21"/>
        </w:rPr>
      </w:pPr>
      <w:r>
        <w:rPr>
          <w:rFonts w:ascii="Open Sans" w:hAnsi="Open Sans" w:cs="Open Sans"/>
          <w:color w:val="333333"/>
          <w:sz w:val="21"/>
          <w:szCs w:val="21"/>
        </w:rPr>
        <w:t>Preparar y gestionar, en su caso a través de la correspondiente sociedad municipal, las actuaciones municipales en materia de promoción, construcción y rehabilitación de viviendas.</w:t>
      </w:r>
    </w:p>
    <w:p w14:paraId="65EE3485" w14:textId="77777777" w:rsidR="00DC46E8" w:rsidRDefault="00DC46E8" w:rsidP="00DC46E8">
      <w:pPr>
        <w:pStyle w:val="text-align-justify"/>
        <w:numPr>
          <w:ilvl w:val="0"/>
          <w:numId w:val="2"/>
        </w:numPr>
        <w:spacing w:line="360" w:lineRule="atLeast"/>
        <w:jc w:val="both"/>
        <w:rPr>
          <w:rFonts w:ascii="Open Sans" w:hAnsi="Open Sans" w:cs="Open Sans"/>
          <w:color w:val="333333"/>
          <w:sz w:val="21"/>
          <w:szCs w:val="21"/>
        </w:rPr>
      </w:pPr>
      <w:r>
        <w:rPr>
          <w:rFonts w:ascii="Open Sans" w:hAnsi="Open Sans" w:cs="Open Sans"/>
          <w:color w:val="333333"/>
          <w:sz w:val="21"/>
          <w:szCs w:val="21"/>
        </w:rPr>
        <w:t>Realizar estudios y propuestas de ordenación, gestión o disciplina urbanística.</w:t>
      </w:r>
    </w:p>
    <w:p w14:paraId="7E61C16E" w14:textId="77777777" w:rsidR="00DC46E8" w:rsidRDefault="00DC46E8" w:rsidP="00DC46E8">
      <w:pPr>
        <w:pStyle w:val="text-align-justify"/>
        <w:numPr>
          <w:ilvl w:val="0"/>
          <w:numId w:val="2"/>
        </w:numPr>
        <w:spacing w:line="360" w:lineRule="atLeast"/>
        <w:jc w:val="both"/>
        <w:rPr>
          <w:rFonts w:ascii="Open Sans" w:hAnsi="Open Sans" w:cs="Open Sans"/>
          <w:color w:val="333333"/>
          <w:sz w:val="21"/>
          <w:szCs w:val="21"/>
        </w:rPr>
      </w:pPr>
      <w:r>
        <w:rPr>
          <w:rFonts w:ascii="Open Sans" w:hAnsi="Open Sans" w:cs="Open Sans"/>
          <w:color w:val="333333"/>
          <w:sz w:val="21"/>
          <w:szCs w:val="21"/>
        </w:rPr>
        <w:t>Intervenir administrativamente en la edificación y uso del suelo.</w:t>
      </w:r>
    </w:p>
    <w:p w14:paraId="0746A77A" w14:textId="77777777" w:rsidR="00DC46E8" w:rsidRDefault="00DC46E8" w:rsidP="00DC46E8">
      <w:pPr>
        <w:pStyle w:val="text-align-justify"/>
        <w:numPr>
          <w:ilvl w:val="0"/>
          <w:numId w:val="2"/>
        </w:numPr>
        <w:spacing w:line="360" w:lineRule="atLeast"/>
        <w:jc w:val="both"/>
        <w:rPr>
          <w:rFonts w:ascii="Open Sans" w:hAnsi="Open Sans" w:cs="Open Sans"/>
          <w:color w:val="333333"/>
          <w:sz w:val="21"/>
          <w:szCs w:val="21"/>
        </w:rPr>
      </w:pPr>
      <w:r>
        <w:rPr>
          <w:rFonts w:ascii="Open Sans" w:hAnsi="Open Sans" w:cs="Open Sans"/>
          <w:color w:val="333333"/>
          <w:sz w:val="21"/>
          <w:szCs w:val="21"/>
        </w:rPr>
        <w:t>Conceder licencias urbanísticas, de apertura de establecimientos y de actividades clasificadas y espectáculos públicos, así como otras autorizaciones relativas a las materias en que intervenga, con la excepción en todo caso de las que tengan por objeto la celebración de las fiestas y actividades recreativas municipales cuya organización forme parte de la competencia del órgano u organismo municipal especializado, tales como Fiestas del Carnaval, Fiestas de Navidad, Reyes, Fiestas de Mayo, demás fiestas y actividades recreativas locales y Fiestas patronales que se desarrollan en los Barrios de la Ciudad.</w:t>
      </w:r>
    </w:p>
    <w:p w14:paraId="3C93B961" w14:textId="77777777" w:rsidR="00DC46E8" w:rsidRDefault="00DC46E8" w:rsidP="00DC46E8">
      <w:pPr>
        <w:pStyle w:val="text-align-justify"/>
        <w:numPr>
          <w:ilvl w:val="0"/>
          <w:numId w:val="2"/>
        </w:numPr>
        <w:spacing w:line="360" w:lineRule="atLeast"/>
        <w:jc w:val="both"/>
        <w:rPr>
          <w:rFonts w:ascii="Open Sans" w:hAnsi="Open Sans" w:cs="Open Sans"/>
          <w:color w:val="333333"/>
          <w:sz w:val="21"/>
          <w:szCs w:val="21"/>
        </w:rPr>
      </w:pPr>
      <w:r>
        <w:rPr>
          <w:rFonts w:ascii="Open Sans" w:hAnsi="Open Sans" w:cs="Open Sans"/>
          <w:color w:val="333333"/>
          <w:sz w:val="21"/>
          <w:szCs w:val="21"/>
        </w:rPr>
        <w:t>Dictar órdenes de ejecución, declarar la situación de ruina y recibir urbanizaciones.</w:t>
      </w:r>
    </w:p>
    <w:p w14:paraId="0A3B91B6" w14:textId="77777777" w:rsidR="00DC46E8" w:rsidRDefault="00DC46E8" w:rsidP="00DC46E8">
      <w:pPr>
        <w:pStyle w:val="text-align-justify"/>
        <w:numPr>
          <w:ilvl w:val="0"/>
          <w:numId w:val="2"/>
        </w:numPr>
        <w:spacing w:line="360" w:lineRule="atLeast"/>
        <w:jc w:val="both"/>
        <w:rPr>
          <w:rFonts w:ascii="Open Sans" w:hAnsi="Open Sans" w:cs="Open Sans"/>
          <w:color w:val="333333"/>
          <w:sz w:val="21"/>
          <w:szCs w:val="21"/>
        </w:rPr>
      </w:pPr>
      <w:r>
        <w:rPr>
          <w:rFonts w:ascii="Open Sans" w:hAnsi="Open Sans" w:cs="Open Sans"/>
          <w:color w:val="333333"/>
          <w:sz w:val="21"/>
          <w:szCs w:val="21"/>
        </w:rPr>
        <w:t>Difundir las actuaciones urbanísticas, disponiendo los medios necesarios para hacer efectivo el derecho de información urbanística, así como expedir informes y cédulas urbanísticas.</w:t>
      </w:r>
    </w:p>
    <w:p w14:paraId="2A51B3EF" w14:textId="77777777" w:rsidR="00DC46E8" w:rsidRDefault="00DC46E8" w:rsidP="00DC46E8">
      <w:pPr>
        <w:pStyle w:val="text-align-justify"/>
        <w:numPr>
          <w:ilvl w:val="0"/>
          <w:numId w:val="2"/>
        </w:numPr>
        <w:spacing w:line="360" w:lineRule="atLeast"/>
        <w:jc w:val="both"/>
        <w:rPr>
          <w:rFonts w:ascii="Open Sans" w:hAnsi="Open Sans" w:cs="Open Sans"/>
          <w:color w:val="333333"/>
          <w:sz w:val="21"/>
          <w:szCs w:val="21"/>
        </w:rPr>
      </w:pPr>
      <w:r>
        <w:rPr>
          <w:rFonts w:ascii="Open Sans" w:hAnsi="Open Sans" w:cs="Open Sans"/>
          <w:color w:val="333333"/>
          <w:sz w:val="21"/>
          <w:szCs w:val="21"/>
        </w:rPr>
        <w:t>Ejercer la potestad inspectora y sancionadora en materia de urbanismo, vivienda, ordenación del territorio, patrimonio histórico, actividades clasificadas y espectáculos públicos.</w:t>
      </w:r>
    </w:p>
    <w:p w14:paraId="1B708FE0" w14:textId="77777777" w:rsidR="00DC46E8" w:rsidRDefault="00DC46E8" w:rsidP="00DC46E8">
      <w:pPr>
        <w:pStyle w:val="text-align-justify"/>
        <w:numPr>
          <w:ilvl w:val="0"/>
          <w:numId w:val="2"/>
        </w:numPr>
        <w:spacing w:line="360" w:lineRule="atLeast"/>
        <w:jc w:val="both"/>
        <w:rPr>
          <w:rFonts w:ascii="Open Sans" w:hAnsi="Open Sans" w:cs="Open Sans"/>
          <w:color w:val="333333"/>
          <w:sz w:val="21"/>
          <w:szCs w:val="21"/>
        </w:rPr>
      </w:pPr>
      <w:r>
        <w:rPr>
          <w:rFonts w:ascii="Open Sans" w:hAnsi="Open Sans" w:cs="Open Sans"/>
          <w:color w:val="333333"/>
          <w:sz w:val="21"/>
          <w:szCs w:val="21"/>
        </w:rPr>
        <w:t xml:space="preserve">Utilizar todos los mecanismos y técnicas de protección de la legalidad en las materias propias de su competencia y exigir las responsabilidades derivadas de la vulneración de la </w:t>
      </w:r>
      <w:proofErr w:type="gramStart"/>
      <w:r>
        <w:rPr>
          <w:rFonts w:ascii="Open Sans" w:hAnsi="Open Sans" w:cs="Open Sans"/>
          <w:color w:val="333333"/>
          <w:sz w:val="21"/>
          <w:szCs w:val="21"/>
        </w:rPr>
        <w:t>misma</w:t>
      </w:r>
      <w:proofErr w:type="gramEnd"/>
      <w:r>
        <w:rPr>
          <w:rFonts w:ascii="Open Sans" w:hAnsi="Open Sans" w:cs="Open Sans"/>
          <w:color w:val="333333"/>
          <w:sz w:val="21"/>
          <w:szCs w:val="21"/>
        </w:rPr>
        <w:t xml:space="preserve"> así como ejercer la potestad sancionadora conforme a la legislación aplicable.</w:t>
      </w:r>
    </w:p>
    <w:p w14:paraId="484C32C1" w14:textId="77777777" w:rsidR="00DC46E8" w:rsidRDefault="00DC46E8" w:rsidP="00DC46E8">
      <w:pPr>
        <w:pStyle w:val="text-align-justify"/>
        <w:numPr>
          <w:ilvl w:val="0"/>
          <w:numId w:val="2"/>
        </w:numPr>
        <w:spacing w:line="360" w:lineRule="atLeast"/>
        <w:jc w:val="both"/>
        <w:rPr>
          <w:rFonts w:ascii="Open Sans" w:hAnsi="Open Sans" w:cs="Open Sans"/>
          <w:color w:val="333333"/>
          <w:sz w:val="21"/>
          <w:szCs w:val="21"/>
        </w:rPr>
      </w:pPr>
      <w:r>
        <w:rPr>
          <w:rFonts w:ascii="Open Sans" w:hAnsi="Open Sans" w:cs="Open Sans"/>
          <w:color w:val="333333"/>
          <w:sz w:val="21"/>
          <w:szCs w:val="21"/>
        </w:rPr>
        <w:t>Ejercer las facultades de revisión, anulación y revocación de sus actos.</w:t>
      </w:r>
    </w:p>
    <w:p w14:paraId="2E4400AA" w14:textId="77777777" w:rsidR="00DC46E8" w:rsidRDefault="00DC46E8" w:rsidP="00DC46E8">
      <w:pPr>
        <w:pStyle w:val="text-align-justify"/>
        <w:numPr>
          <w:ilvl w:val="0"/>
          <w:numId w:val="2"/>
        </w:numPr>
        <w:spacing w:line="360" w:lineRule="atLeast"/>
        <w:jc w:val="both"/>
        <w:rPr>
          <w:rFonts w:ascii="Open Sans" w:hAnsi="Open Sans" w:cs="Open Sans"/>
          <w:color w:val="333333"/>
          <w:sz w:val="21"/>
          <w:szCs w:val="21"/>
        </w:rPr>
      </w:pPr>
      <w:r>
        <w:rPr>
          <w:rFonts w:ascii="Open Sans" w:hAnsi="Open Sans" w:cs="Open Sans"/>
          <w:color w:val="333333"/>
          <w:sz w:val="21"/>
          <w:szCs w:val="21"/>
        </w:rPr>
        <w:t>Preparar y proponer a la aprobación de los órganos competentes cualquier clase de documentos o proyectos de índole urbanística que sean de la competencia municipal.</w:t>
      </w:r>
    </w:p>
    <w:p w14:paraId="01DA387A" w14:textId="77777777" w:rsidR="00DC46E8" w:rsidRDefault="00DC46E8" w:rsidP="00DC46E8">
      <w:pPr>
        <w:pStyle w:val="text-align-justify"/>
        <w:numPr>
          <w:ilvl w:val="0"/>
          <w:numId w:val="2"/>
        </w:numPr>
        <w:spacing w:line="360" w:lineRule="atLeast"/>
        <w:jc w:val="both"/>
        <w:rPr>
          <w:rFonts w:ascii="Open Sans" w:hAnsi="Open Sans" w:cs="Open Sans"/>
          <w:color w:val="333333"/>
          <w:sz w:val="21"/>
          <w:szCs w:val="21"/>
        </w:rPr>
      </w:pPr>
      <w:r>
        <w:rPr>
          <w:rFonts w:ascii="Open Sans" w:hAnsi="Open Sans" w:cs="Open Sans"/>
          <w:color w:val="333333"/>
          <w:sz w:val="21"/>
          <w:szCs w:val="21"/>
        </w:rPr>
        <w:t>El ejercicio de todas aquellas competencias inherentes a la actividad de gestión y ejecución del planeamiento que se encuentren recogidas en el Decreto territorial 183/2004, de 21 de diciembre, por el que se aprueba el Reglamento de Gestión y Ejecución del Sistema de Planeamiento de Canarias.</w:t>
      </w:r>
    </w:p>
    <w:p w14:paraId="2BB55512" w14:textId="77777777" w:rsidR="00DC46E8" w:rsidRDefault="00000000" w:rsidP="00DC46E8">
      <w:pPr>
        <w:pStyle w:val="Ttulo4"/>
        <w:shd w:val="clear" w:color="auto" w:fill="F5F5F5"/>
        <w:spacing w:before="0" w:line="405" w:lineRule="atLeast"/>
        <w:rPr>
          <w:rFonts w:ascii="inherit" w:hAnsi="inherit" w:cs="Open Sans"/>
          <w:color w:val="333333"/>
        </w:rPr>
      </w:pPr>
      <w:hyperlink r:id="rId8" w:anchor="collapse3" w:history="1">
        <w:r w:rsidR="00DC46E8">
          <w:rPr>
            <w:rStyle w:val="Hipervnculo"/>
            <w:rFonts w:ascii="inherit" w:hAnsi="inherit" w:cs="Open Sans"/>
            <w:b/>
            <w:bCs/>
            <w:color w:val="3F8FCF"/>
          </w:rPr>
          <w:t>Funciones relativas a la </w:t>
        </w:r>
        <w:r w:rsidR="00DC46E8">
          <w:rPr>
            <w:rStyle w:val="Textoennegrita"/>
            <w:rFonts w:ascii="inherit" w:hAnsi="inherit" w:cs="Open Sans"/>
            <w:b w:val="0"/>
            <w:bCs w:val="0"/>
            <w:color w:val="3F8FCF"/>
          </w:rPr>
          <w:t>Gestión del Patrimonio Inmobiliario de la Corporación</w:t>
        </w:r>
      </w:hyperlink>
    </w:p>
    <w:p w14:paraId="668D6895" w14:textId="77777777" w:rsidR="00DC46E8" w:rsidRDefault="00DC46E8" w:rsidP="00DC46E8">
      <w:pPr>
        <w:pStyle w:val="text-align-justify"/>
        <w:numPr>
          <w:ilvl w:val="0"/>
          <w:numId w:val="3"/>
        </w:numPr>
        <w:spacing w:line="360" w:lineRule="atLeast"/>
        <w:jc w:val="both"/>
        <w:rPr>
          <w:rFonts w:ascii="Open Sans" w:hAnsi="Open Sans" w:cs="Open Sans"/>
          <w:color w:val="333333"/>
          <w:sz w:val="21"/>
          <w:szCs w:val="21"/>
        </w:rPr>
      </w:pPr>
      <w:r>
        <w:rPr>
          <w:rFonts w:ascii="Open Sans" w:hAnsi="Open Sans" w:cs="Open Sans"/>
          <w:color w:val="333333"/>
          <w:sz w:val="21"/>
          <w:szCs w:val="21"/>
        </w:rPr>
        <w:t>La gestión del Patrimonio Público de Suelo de acuerdo con lo previsto en el Texto Refundido de la Ley de Ordenación del Territorio de Canarias, a cuyo fin podrá adquirir, poseer, reivindicar, administrar, gravar y enajenar toda clase de bienes, así como adquirir por cualquier título, terrenos destinados a la formación de reservas de suelo, preparación de solares o cualquier otra finalidad análoga de carácter urbanístico. En particular, formalizará las adquisiciones de aprovechamientos urbanísticos y las cesiones de terrenos que se produzcan como consecuencia de la ejecución del planeamiento.</w:t>
      </w:r>
    </w:p>
    <w:p w14:paraId="59F21330" w14:textId="77777777" w:rsidR="00DC46E8" w:rsidRDefault="00DC46E8" w:rsidP="00DC46E8">
      <w:pPr>
        <w:pStyle w:val="text-align-justify"/>
        <w:numPr>
          <w:ilvl w:val="0"/>
          <w:numId w:val="3"/>
        </w:numPr>
        <w:spacing w:line="360" w:lineRule="atLeast"/>
        <w:jc w:val="both"/>
        <w:rPr>
          <w:rFonts w:ascii="Open Sans" w:hAnsi="Open Sans" w:cs="Open Sans"/>
          <w:color w:val="333333"/>
          <w:sz w:val="21"/>
          <w:szCs w:val="21"/>
        </w:rPr>
      </w:pPr>
      <w:r>
        <w:rPr>
          <w:rFonts w:ascii="Open Sans" w:hAnsi="Open Sans" w:cs="Open Sans"/>
          <w:color w:val="333333"/>
          <w:sz w:val="21"/>
          <w:szCs w:val="21"/>
        </w:rPr>
        <w:t>La gestión de patrimonio inmobiliario municipal afectado por las actuaciones urbanísticas, así como el inventario del suelo público obtenido a través de las actuaciones urbanísticas. y la llevanza del preceptivo Registro de Explotación en los términos previstos en el Reglamento de Gestión y Ejecución del Sistema de Planeamiento de Canarias.</w:t>
      </w:r>
    </w:p>
    <w:p w14:paraId="36D70A54" w14:textId="77777777" w:rsidR="00DC46E8" w:rsidRDefault="00DC46E8" w:rsidP="00DC46E8">
      <w:pPr>
        <w:pStyle w:val="text-align-justify"/>
        <w:numPr>
          <w:ilvl w:val="0"/>
          <w:numId w:val="3"/>
        </w:numPr>
        <w:spacing w:line="360" w:lineRule="atLeast"/>
        <w:jc w:val="both"/>
        <w:rPr>
          <w:rFonts w:ascii="Open Sans" w:hAnsi="Open Sans" w:cs="Open Sans"/>
          <w:color w:val="333333"/>
          <w:sz w:val="21"/>
          <w:szCs w:val="21"/>
        </w:rPr>
      </w:pPr>
      <w:r>
        <w:rPr>
          <w:rFonts w:ascii="Open Sans" w:hAnsi="Open Sans" w:cs="Open Sans"/>
          <w:color w:val="333333"/>
          <w:sz w:val="21"/>
          <w:szCs w:val="21"/>
        </w:rPr>
        <w:t>La gestión, por delegación o encomienda, de la adquisición del suelo para dotaciones o sistemas generales de titularidad ajena al municipio cuando la entidad competente así lo acuerde con la Corporación Municipal.</w:t>
      </w:r>
    </w:p>
    <w:p w14:paraId="72B415F3" w14:textId="77777777" w:rsidR="00DC46E8" w:rsidRDefault="00DC46E8" w:rsidP="00DC46E8">
      <w:pPr>
        <w:pStyle w:val="text-align-justify"/>
        <w:numPr>
          <w:ilvl w:val="0"/>
          <w:numId w:val="3"/>
        </w:numPr>
        <w:spacing w:line="360" w:lineRule="atLeast"/>
        <w:jc w:val="both"/>
        <w:rPr>
          <w:rFonts w:ascii="Open Sans" w:hAnsi="Open Sans" w:cs="Open Sans"/>
          <w:color w:val="333333"/>
          <w:sz w:val="21"/>
          <w:szCs w:val="21"/>
        </w:rPr>
      </w:pPr>
      <w:r>
        <w:rPr>
          <w:rFonts w:ascii="Open Sans" w:hAnsi="Open Sans" w:cs="Open Sans"/>
          <w:color w:val="333333"/>
          <w:sz w:val="21"/>
          <w:szCs w:val="21"/>
        </w:rPr>
        <w:t>Estudiar, informar y proponer al Ayuntamiento la utilización privativa de bienes demaniales.</w:t>
      </w:r>
    </w:p>
    <w:p w14:paraId="01BAF887" w14:textId="77777777" w:rsidR="00DC46E8" w:rsidRDefault="00000000" w:rsidP="00DC46E8">
      <w:pPr>
        <w:pStyle w:val="Ttulo4"/>
        <w:shd w:val="clear" w:color="auto" w:fill="F5F5F5"/>
        <w:spacing w:before="0" w:line="405" w:lineRule="atLeast"/>
        <w:rPr>
          <w:rFonts w:ascii="inherit" w:hAnsi="inherit" w:cs="Open Sans"/>
          <w:color w:val="333333"/>
        </w:rPr>
      </w:pPr>
      <w:hyperlink r:id="rId9" w:anchor="collapse4" w:history="1">
        <w:r w:rsidR="00DC46E8">
          <w:rPr>
            <w:rStyle w:val="Hipervnculo"/>
            <w:rFonts w:ascii="inherit" w:hAnsi="inherit" w:cs="Open Sans"/>
            <w:b/>
            <w:bCs/>
            <w:color w:val="3F8FCF"/>
          </w:rPr>
          <w:t>Funciones relativas a la </w:t>
        </w:r>
        <w:r w:rsidR="00DC46E8">
          <w:rPr>
            <w:rStyle w:val="Textoennegrita"/>
            <w:rFonts w:ascii="inherit" w:hAnsi="inherit" w:cs="Open Sans"/>
            <w:b w:val="0"/>
            <w:bCs w:val="0"/>
            <w:color w:val="3F8FCF"/>
          </w:rPr>
          <w:t>Intervención Pública en el Mercado Inmobiliario</w:t>
        </w:r>
      </w:hyperlink>
    </w:p>
    <w:p w14:paraId="7CDD0039" w14:textId="77777777" w:rsidR="00DC46E8" w:rsidRDefault="00DC46E8" w:rsidP="00DC46E8">
      <w:pPr>
        <w:numPr>
          <w:ilvl w:val="0"/>
          <w:numId w:val="4"/>
        </w:numPr>
        <w:spacing w:before="100" w:beforeAutospacing="1" w:after="100" w:afterAutospacing="1" w:line="360" w:lineRule="atLeast"/>
        <w:rPr>
          <w:rFonts w:ascii="Open Sans" w:hAnsi="Open Sans" w:cs="Open Sans"/>
          <w:color w:val="333333"/>
          <w:sz w:val="21"/>
          <w:szCs w:val="21"/>
        </w:rPr>
      </w:pPr>
      <w:r>
        <w:rPr>
          <w:rFonts w:ascii="Open Sans" w:hAnsi="Open Sans" w:cs="Open Sans"/>
          <w:color w:val="333333"/>
          <w:sz w:val="21"/>
          <w:szCs w:val="21"/>
        </w:rPr>
        <w:t>Proponer y establecer o delimitar, en su caso, en el planeamiento reservas de terreno para la ampliación del patrimonio público de suelo y ámbitos para el ejercicio de los derechos de tanteo y retracto.</w:t>
      </w:r>
    </w:p>
    <w:p w14:paraId="455E78DB" w14:textId="77777777" w:rsidR="00DC46E8" w:rsidRDefault="00DC46E8" w:rsidP="00DC46E8">
      <w:pPr>
        <w:numPr>
          <w:ilvl w:val="0"/>
          <w:numId w:val="4"/>
        </w:numPr>
        <w:spacing w:before="100" w:beforeAutospacing="1" w:after="100" w:afterAutospacing="1" w:line="360" w:lineRule="atLeast"/>
        <w:rPr>
          <w:rFonts w:ascii="Open Sans" w:hAnsi="Open Sans" w:cs="Open Sans"/>
          <w:color w:val="333333"/>
          <w:sz w:val="21"/>
          <w:szCs w:val="21"/>
        </w:rPr>
      </w:pPr>
      <w:r>
        <w:rPr>
          <w:rFonts w:ascii="Open Sans" w:hAnsi="Open Sans" w:cs="Open Sans"/>
          <w:color w:val="333333"/>
          <w:sz w:val="21"/>
          <w:szCs w:val="21"/>
        </w:rPr>
        <w:t>Incorporar al proceso urbanizador o edificatorio los bienes integrantes del patrimonio público de suelo municipal.</w:t>
      </w:r>
    </w:p>
    <w:p w14:paraId="544F3490" w14:textId="77777777" w:rsidR="00DC46E8" w:rsidRDefault="00DC46E8"/>
    <w:sectPr w:rsidR="00DC46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2399D"/>
    <w:multiLevelType w:val="multilevel"/>
    <w:tmpl w:val="DC02E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7A0989"/>
    <w:multiLevelType w:val="multilevel"/>
    <w:tmpl w:val="EE6C2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426555"/>
    <w:multiLevelType w:val="multilevel"/>
    <w:tmpl w:val="961EA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952AE1"/>
    <w:multiLevelType w:val="multilevel"/>
    <w:tmpl w:val="79228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4481949">
    <w:abstractNumId w:val="3"/>
  </w:num>
  <w:num w:numId="2" w16cid:durableId="449473052">
    <w:abstractNumId w:val="1"/>
  </w:num>
  <w:num w:numId="3" w16cid:durableId="238291869">
    <w:abstractNumId w:val="0"/>
  </w:num>
  <w:num w:numId="4" w16cid:durableId="1458571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46E8"/>
    <w:rsid w:val="001F2A14"/>
    <w:rsid w:val="00DC46E8"/>
    <w:rsid w:val="00EF286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D3485"/>
  <w15:chartTrackingRefBased/>
  <w15:docId w15:val="{68707FFF-194F-4FC3-8059-F2153EE9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ES_tradnl" w:eastAsia="en-US"/>
    </w:rPr>
  </w:style>
  <w:style w:type="paragraph" w:styleId="Ttulo2">
    <w:name w:val="heading 2"/>
    <w:basedOn w:val="Normal"/>
    <w:link w:val="Ttulo2Car"/>
    <w:uiPriority w:val="9"/>
    <w:qFormat/>
    <w:rsid w:val="00DC46E8"/>
    <w:pPr>
      <w:spacing w:before="100" w:beforeAutospacing="1" w:after="100" w:afterAutospacing="1" w:line="240" w:lineRule="auto"/>
      <w:outlineLvl w:val="1"/>
    </w:pPr>
    <w:rPr>
      <w:rFonts w:ascii="Times New Roman" w:eastAsia="Times New Roman" w:hAnsi="Times New Roman"/>
      <w:b/>
      <w:bCs/>
      <w:sz w:val="36"/>
      <w:szCs w:val="36"/>
      <w:lang w:eastAsia="es-ES_tradnl"/>
    </w:rPr>
  </w:style>
  <w:style w:type="paragraph" w:styleId="Ttulo4">
    <w:name w:val="heading 4"/>
    <w:basedOn w:val="Normal"/>
    <w:next w:val="Normal"/>
    <w:link w:val="Ttulo4Car"/>
    <w:uiPriority w:val="9"/>
    <w:semiHidden/>
    <w:unhideWhenUsed/>
    <w:qFormat/>
    <w:rsid w:val="00DC46E8"/>
    <w:pPr>
      <w:keepNext/>
      <w:keepLines/>
      <w:spacing w:before="40" w:after="0"/>
      <w:outlineLvl w:val="3"/>
    </w:pPr>
    <w:rPr>
      <w:rFonts w:ascii="Calibri Light" w:eastAsia="Times New Roman" w:hAnsi="Calibri Light"/>
      <w:i/>
      <w:iCs/>
      <w:color w:val="2F549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DC46E8"/>
    <w:rPr>
      <w:rFonts w:ascii="Times New Roman" w:eastAsia="Times New Roman" w:hAnsi="Times New Roman" w:cs="Times New Roman"/>
      <w:b/>
      <w:bCs/>
      <w:sz w:val="36"/>
      <w:szCs w:val="36"/>
      <w:lang w:eastAsia="es-ES_tradnl"/>
    </w:rPr>
  </w:style>
  <w:style w:type="character" w:styleId="Textoennegrita">
    <w:name w:val="Strong"/>
    <w:uiPriority w:val="22"/>
    <w:qFormat/>
    <w:rsid w:val="00DC46E8"/>
    <w:rPr>
      <w:b/>
      <w:bCs/>
    </w:rPr>
  </w:style>
  <w:style w:type="paragraph" w:customStyle="1" w:styleId="text-align-justify">
    <w:name w:val="text-align-justify"/>
    <w:basedOn w:val="Normal"/>
    <w:rsid w:val="00DC46E8"/>
    <w:pPr>
      <w:spacing w:before="100" w:beforeAutospacing="1" w:after="100" w:afterAutospacing="1" w:line="240" w:lineRule="auto"/>
    </w:pPr>
    <w:rPr>
      <w:rFonts w:ascii="Times New Roman" w:eastAsia="Times New Roman" w:hAnsi="Times New Roman"/>
      <w:sz w:val="24"/>
      <w:szCs w:val="24"/>
      <w:lang w:eastAsia="es-ES_tradnl"/>
    </w:rPr>
  </w:style>
  <w:style w:type="character" w:styleId="Hipervnculo">
    <w:name w:val="Hyperlink"/>
    <w:uiPriority w:val="99"/>
    <w:semiHidden/>
    <w:unhideWhenUsed/>
    <w:rsid w:val="00DC46E8"/>
    <w:rPr>
      <w:color w:val="0000FF"/>
      <w:u w:val="single"/>
    </w:rPr>
  </w:style>
  <w:style w:type="paragraph" w:styleId="NormalWeb">
    <w:name w:val="Normal (Web)"/>
    <w:basedOn w:val="Normal"/>
    <w:uiPriority w:val="99"/>
    <w:semiHidden/>
    <w:unhideWhenUsed/>
    <w:rsid w:val="00DC46E8"/>
    <w:pPr>
      <w:spacing w:before="100" w:beforeAutospacing="1" w:after="100" w:afterAutospacing="1" w:line="240" w:lineRule="auto"/>
    </w:pPr>
    <w:rPr>
      <w:rFonts w:ascii="Times New Roman" w:eastAsia="Times New Roman" w:hAnsi="Times New Roman"/>
      <w:sz w:val="24"/>
      <w:szCs w:val="24"/>
      <w:lang w:eastAsia="es-ES_tradnl"/>
    </w:rPr>
  </w:style>
  <w:style w:type="character" w:customStyle="1" w:styleId="Ttulo4Car">
    <w:name w:val="Título 4 Car"/>
    <w:link w:val="Ttulo4"/>
    <w:uiPriority w:val="9"/>
    <w:semiHidden/>
    <w:rsid w:val="00DC46E8"/>
    <w:rPr>
      <w:rFonts w:ascii="Calibri Light" w:eastAsia="Times New Roman" w:hAnsi="Calibri Light" w:cs="Times New Roman"/>
      <w:i/>
      <w:iCs/>
      <w:color w:val="2F54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65883">
      <w:bodyDiv w:val="1"/>
      <w:marLeft w:val="0"/>
      <w:marRight w:val="0"/>
      <w:marTop w:val="0"/>
      <w:marBottom w:val="0"/>
      <w:divBdr>
        <w:top w:val="none" w:sz="0" w:space="0" w:color="auto"/>
        <w:left w:val="none" w:sz="0" w:space="0" w:color="auto"/>
        <w:bottom w:val="none" w:sz="0" w:space="0" w:color="auto"/>
        <w:right w:val="none" w:sz="0" w:space="0" w:color="auto"/>
      </w:divBdr>
      <w:divsChild>
        <w:div w:id="1709452242">
          <w:marLeft w:val="0"/>
          <w:marRight w:val="0"/>
          <w:marTop w:val="0"/>
          <w:marBottom w:val="0"/>
          <w:divBdr>
            <w:top w:val="none" w:sz="0" w:space="0" w:color="DDDDDD"/>
            <w:left w:val="none" w:sz="0" w:space="0" w:color="DDDDDD"/>
            <w:bottom w:val="none" w:sz="0" w:space="0" w:color="auto"/>
            <w:right w:val="none" w:sz="0" w:space="0" w:color="DDDDDD"/>
          </w:divBdr>
        </w:div>
        <w:div w:id="1656059846">
          <w:marLeft w:val="0"/>
          <w:marRight w:val="0"/>
          <w:marTop w:val="0"/>
          <w:marBottom w:val="0"/>
          <w:divBdr>
            <w:top w:val="none" w:sz="0" w:space="0" w:color="auto"/>
            <w:left w:val="none" w:sz="0" w:space="0" w:color="auto"/>
            <w:bottom w:val="none" w:sz="0" w:space="0" w:color="auto"/>
            <w:right w:val="none" w:sz="0" w:space="0" w:color="auto"/>
          </w:divBdr>
          <w:divsChild>
            <w:div w:id="672538916">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 w:id="698627891">
      <w:bodyDiv w:val="1"/>
      <w:marLeft w:val="0"/>
      <w:marRight w:val="0"/>
      <w:marTop w:val="0"/>
      <w:marBottom w:val="0"/>
      <w:divBdr>
        <w:top w:val="none" w:sz="0" w:space="0" w:color="auto"/>
        <w:left w:val="none" w:sz="0" w:space="0" w:color="auto"/>
        <w:bottom w:val="none" w:sz="0" w:space="0" w:color="auto"/>
        <w:right w:val="none" w:sz="0" w:space="0" w:color="auto"/>
      </w:divBdr>
      <w:divsChild>
        <w:div w:id="940256814">
          <w:marLeft w:val="0"/>
          <w:marRight w:val="0"/>
          <w:marTop w:val="0"/>
          <w:marBottom w:val="0"/>
          <w:divBdr>
            <w:top w:val="none" w:sz="0" w:space="0" w:color="DDDDDD"/>
            <w:left w:val="none" w:sz="0" w:space="0" w:color="DDDDDD"/>
            <w:bottom w:val="none" w:sz="0" w:space="0" w:color="auto"/>
            <w:right w:val="none" w:sz="0" w:space="0" w:color="DDDDDD"/>
          </w:divBdr>
        </w:div>
        <w:div w:id="741565611">
          <w:marLeft w:val="0"/>
          <w:marRight w:val="0"/>
          <w:marTop w:val="0"/>
          <w:marBottom w:val="0"/>
          <w:divBdr>
            <w:top w:val="none" w:sz="0" w:space="0" w:color="auto"/>
            <w:left w:val="none" w:sz="0" w:space="0" w:color="auto"/>
            <w:bottom w:val="none" w:sz="0" w:space="0" w:color="auto"/>
            <w:right w:val="none" w:sz="0" w:space="0" w:color="auto"/>
          </w:divBdr>
          <w:divsChild>
            <w:div w:id="1939831477">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 w:id="839584613">
      <w:bodyDiv w:val="1"/>
      <w:marLeft w:val="0"/>
      <w:marRight w:val="0"/>
      <w:marTop w:val="0"/>
      <w:marBottom w:val="0"/>
      <w:divBdr>
        <w:top w:val="none" w:sz="0" w:space="0" w:color="auto"/>
        <w:left w:val="none" w:sz="0" w:space="0" w:color="auto"/>
        <w:bottom w:val="none" w:sz="0" w:space="0" w:color="auto"/>
        <w:right w:val="none" w:sz="0" w:space="0" w:color="auto"/>
      </w:divBdr>
    </w:div>
    <w:div w:id="939147155">
      <w:bodyDiv w:val="1"/>
      <w:marLeft w:val="0"/>
      <w:marRight w:val="0"/>
      <w:marTop w:val="0"/>
      <w:marBottom w:val="0"/>
      <w:divBdr>
        <w:top w:val="none" w:sz="0" w:space="0" w:color="auto"/>
        <w:left w:val="none" w:sz="0" w:space="0" w:color="auto"/>
        <w:bottom w:val="none" w:sz="0" w:space="0" w:color="auto"/>
        <w:right w:val="none" w:sz="0" w:space="0" w:color="auto"/>
      </w:divBdr>
      <w:divsChild>
        <w:div w:id="872425874">
          <w:marLeft w:val="0"/>
          <w:marRight w:val="0"/>
          <w:marTop w:val="0"/>
          <w:marBottom w:val="0"/>
          <w:divBdr>
            <w:top w:val="none" w:sz="0" w:space="0" w:color="DDDDDD"/>
            <w:left w:val="none" w:sz="0" w:space="0" w:color="DDDDDD"/>
            <w:bottom w:val="none" w:sz="0" w:space="0" w:color="auto"/>
            <w:right w:val="none" w:sz="0" w:space="0" w:color="DDDDDD"/>
          </w:divBdr>
        </w:div>
        <w:div w:id="1096949173">
          <w:marLeft w:val="0"/>
          <w:marRight w:val="0"/>
          <w:marTop w:val="0"/>
          <w:marBottom w:val="0"/>
          <w:divBdr>
            <w:top w:val="none" w:sz="0" w:space="0" w:color="auto"/>
            <w:left w:val="none" w:sz="0" w:space="0" w:color="auto"/>
            <w:bottom w:val="none" w:sz="0" w:space="0" w:color="auto"/>
            <w:right w:val="none" w:sz="0" w:space="0" w:color="auto"/>
          </w:divBdr>
          <w:divsChild>
            <w:div w:id="230846407">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 w:id="1480421098">
      <w:bodyDiv w:val="1"/>
      <w:marLeft w:val="0"/>
      <w:marRight w:val="0"/>
      <w:marTop w:val="0"/>
      <w:marBottom w:val="0"/>
      <w:divBdr>
        <w:top w:val="none" w:sz="0" w:space="0" w:color="auto"/>
        <w:left w:val="none" w:sz="0" w:space="0" w:color="auto"/>
        <w:bottom w:val="none" w:sz="0" w:space="0" w:color="auto"/>
        <w:right w:val="none" w:sz="0" w:space="0" w:color="auto"/>
      </w:divBdr>
      <w:divsChild>
        <w:div w:id="1527720277">
          <w:marLeft w:val="0"/>
          <w:marRight w:val="0"/>
          <w:marTop w:val="0"/>
          <w:marBottom w:val="0"/>
          <w:divBdr>
            <w:top w:val="none" w:sz="0" w:space="0" w:color="DDDDDD"/>
            <w:left w:val="none" w:sz="0" w:space="0" w:color="DDDDDD"/>
            <w:bottom w:val="none" w:sz="0" w:space="0" w:color="auto"/>
            <w:right w:val="none" w:sz="0" w:space="0" w:color="DDDDDD"/>
          </w:divBdr>
        </w:div>
        <w:div w:id="755133003">
          <w:marLeft w:val="0"/>
          <w:marRight w:val="0"/>
          <w:marTop w:val="0"/>
          <w:marBottom w:val="0"/>
          <w:divBdr>
            <w:top w:val="none" w:sz="0" w:space="0" w:color="auto"/>
            <w:left w:val="none" w:sz="0" w:space="0" w:color="auto"/>
            <w:bottom w:val="none" w:sz="0" w:space="0" w:color="auto"/>
            <w:right w:val="none" w:sz="0" w:space="0" w:color="auto"/>
          </w:divBdr>
          <w:divsChild>
            <w:div w:id="1990939285">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 w:id="212769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banismosantacruz.es/es/presentacion-y-funciones" TargetMode="External"/><Relationship Id="rId3" Type="http://schemas.openxmlformats.org/officeDocument/2006/relationships/settings" Target="settings.xml"/><Relationship Id="rId7" Type="http://schemas.openxmlformats.org/officeDocument/2006/relationships/hyperlink" Target="https://www.urbanismosantacruz.es/es/presentacion-y-funcio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rbanismosantacruz.es/es/presentacion-y-funciones" TargetMode="External"/><Relationship Id="rId11" Type="http://schemas.openxmlformats.org/officeDocument/2006/relationships/theme" Target="theme/theme1.xml"/><Relationship Id="rId5" Type="http://schemas.openxmlformats.org/officeDocument/2006/relationships/hyperlink" Target="https://www.urbanismosantacruz.es/es/vigentes-en-tramit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rbanismosantacruz.es/es/presentacion-y-funcion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2430</Words>
  <Characters>13369</Characters>
  <Application>Microsoft Office Word</Application>
  <DocSecurity>0</DocSecurity>
  <Lines>111</Lines>
  <Paragraphs>31</Paragraphs>
  <ScaleCrop>false</ScaleCrop>
  <Company/>
  <LinksUpToDate>false</LinksUpToDate>
  <CharactersWithSpaces>15768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Heylen Campos</dc:creator>
  <cp:keywords/>
  <dc:description/>
  <cp:lastModifiedBy>David Heylen Campos</cp:lastModifiedBy>
  <cp:revision>3</cp:revision>
  <cp:lastPrinted>2021-06-23T07:45:00Z</cp:lastPrinted>
  <dcterms:created xsi:type="dcterms:W3CDTF">2021-06-23T07:46:00Z</dcterms:created>
  <dcterms:modified xsi:type="dcterms:W3CDTF">2024-01-24T08:21:00Z</dcterms:modified>
</cp:coreProperties>
</file>