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83D9" w14:textId="62F63289" w:rsidR="00C93C2A" w:rsidRPr="00C93C2A" w:rsidRDefault="00C93C2A" w:rsidP="00C93C2A">
      <w:pPr>
        <w:shd w:val="clear" w:color="auto" w:fill="FFFFFF"/>
        <w:spacing w:after="480" w:line="630" w:lineRule="atLeast"/>
        <w:outlineLvl w:val="1"/>
        <w:rPr>
          <w:rFonts w:ascii="Open Sans" w:eastAsia="Times New Roman" w:hAnsi="Open Sans" w:cs="Open Sans"/>
          <w:color w:val="333333"/>
          <w:spacing w:val="-15"/>
          <w:sz w:val="53"/>
          <w:szCs w:val="53"/>
          <w:lang w:eastAsia="es-ES_tradnl"/>
        </w:rPr>
      </w:pPr>
      <w:r w:rsidRPr="00C93C2A">
        <w:rPr>
          <w:rFonts w:ascii="Open Sans" w:eastAsia="Times New Roman" w:hAnsi="Open Sans" w:cs="Open Sans"/>
          <w:b/>
          <w:bCs/>
          <w:color w:val="333333"/>
          <w:spacing w:val="-15"/>
          <w:sz w:val="53"/>
          <w:szCs w:val="53"/>
          <w:lang w:eastAsia="es-ES_tradnl"/>
        </w:rPr>
        <w:t>Obligaciones </w:t>
      </w:r>
      <w:r w:rsidRPr="00C93C2A">
        <w:rPr>
          <w:rFonts w:ascii="Open Sans" w:eastAsia="Times New Roman" w:hAnsi="Open Sans" w:cs="Open Sans"/>
          <w:color w:val="333333"/>
          <w:spacing w:val="-15"/>
          <w:sz w:val="53"/>
          <w:szCs w:val="53"/>
          <w:lang w:eastAsia="es-ES_tradnl"/>
        </w:rPr>
        <w:t>destacadas</w:t>
      </w:r>
      <w:r>
        <w:rPr>
          <w:rFonts w:ascii="Open Sans" w:eastAsia="Times New Roman" w:hAnsi="Open Sans" w:cs="Open Sans"/>
          <w:color w:val="333333"/>
          <w:spacing w:val="-15"/>
          <w:sz w:val="53"/>
          <w:szCs w:val="53"/>
          <w:lang w:eastAsia="es-ES_tradnl"/>
        </w:rPr>
        <w:br/>
        <w:t xml:space="preserve">Retribuciones </w:t>
      </w:r>
      <w:r w:rsidRPr="00C93C2A">
        <w:rPr>
          <w:rFonts w:ascii="Open Sans" w:eastAsia="Times New Roman" w:hAnsi="Open Sans" w:cs="Open Sans"/>
          <w:b/>
          <w:bCs/>
          <w:color w:val="333333"/>
          <w:spacing w:val="-15"/>
          <w:sz w:val="53"/>
          <w:szCs w:val="53"/>
          <w:lang w:eastAsia="es-ES_tradnl"/>
        </w:rPr>
        <w:t>Ejercicio 2021</w:t>
      </w:r>
    </w:p>
    <w:p w14:paraId="00A22480" w14:textId="77777777" w:rsidR="00C93C2A" w:rsidRPr="00C93C2A" w:rsidRDefault="00C93C2A" w:rsidP="00C93C2A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3C2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pict w14:anchorId="5AD20103">
          <v:rect id="_x0000_i1025" style="width:0;height:.75pt" o:hralign="center" o:hrstd="t" o:hrnoshade="t" o:hr="t" fillcolor="#333" stroked="f"/>
        </w:pict>
      </w:r>
    </w:p>
    <w:tbl>
      <w:tblPr>
        <w:tblW w:w="149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8521"/>
        <w:gridCol w:w="4575"/>
      </w:tblGrid>
      <w:tr w:rsidR="00C93C2A" w:rsidRPr="00C93C2A" w14:paraId="43B4F7DF" w14:textId="77777777" w:rsidTr="00C93C2A">
        <w:trPr>
          <w:trHeight w:val="517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5EED95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RETRIBUCIONES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D57FA" w14:textId="77777777" w:rsidR="00C93C2A" w:rsidRPr="00C93C2A" w:rsidRDefault="00C93C2A" w:rsidP="00C93C2A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Miembros electos, titulares de los órganos de gobierno y órganos superiores, altos cargos o asimilados, y directivos de la entidad</w:t>
            </w:r>
          </w:p>
        </w:tc>
      </w:tr>
      <w:tr w:rsidR="00C93C2A" w:rsidRPr="00C93C2A" w14:paraId="0BE2D3D2" w14:textId="77777777" w:rsidTr="00C93C2A">
        <w:trPr>
          <w:trHeight w:val="102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0EFD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9C5BE" w14:textId="77777777" w:rsidR="00C93C2A" w:rsidRPr="00C93C2A" w:rsidRDefault="00C93C2A" w:rsidP="00C93C2A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proofErr w:type="gramStart"/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Retribuciones percibida anualmente</w:t>
            </w:r>
            <w:proofErr w:type="gramEnd"/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, articulada en función de la clase o categoría del órgano, y en caso de dedicación parcial, especificando la dedicación mínima exigida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3EEF4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Únicamente las indemnizaciones abonadas por asistencia a Consejo Rector </w:t>
            </w:r>
            <w:hyperlink r:id="rId4" w:tgtFrame="_blank" w:history="1">
              <w:r w:rsidRPr="00C93C2A">
                <w:rPr>
                  <w:rFonts w:ascii="Open Sans" w:eastAsia="Times New Roman" w:hAnsi="Open Sans" w:cs="Open Sans"/>
                  <w:i/>
                  <w:iCs/>
                  <w:color w:val="3F8FCF"/>
                  <w:sz w:val="21"/>
                  <w:szCs w:val="21"/>
                  <w:u w:val="single"/>
                  <w:lang w:eastAsia="es-ES_tradnl"/>
                </w:rPr>
                <w:t>Base 18</w:t>
              </w:r>
            </w:hyperlink>
            <w:r w:rsidRPr="00C93C2A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  <w:lang w:eastAsia="es-ES_tradnl"/>
              </w:rPr>
              <w:t> de Ejecución de Presupuestos</w:t>
            </w:r>
          </w:p>
        </w:tc>
      </w:tr>
      <w:tr w:rsidR="00C93C2A" w:rsidRPr="00C93C2A" w14:paraId="1190E2C2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D637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B4ED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Gastos de representación de asignados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BC3BC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  <w:lang w:eastAsia="es-ES_tradnl"/>
              </w:rPr>
              <w:t>No existen</w:t>
            </w:r>
          </w:p>
        </w:tc>
      </w:tr>
      <w:tr w:rsidR="00C93C2A" w:rsidRPr="00C93C2A" w14:paraId="362F6618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7EFD5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8C9E6" w14:textId="77777777" w:rsidR="00C93C2A" w:rsidRPr="00C93C2A" w:rsidRDefault="00C93C2A" w:rsidP="00C93C2A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Indemnizaciones percibidas por razón del servicio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6386D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2.617,13 €</w:t>
            </w:r>
          </w:p>
        </w:tc>
      </w:tr>
      <w:tr w:rsidR="00C93C2A" w:rsidRPr="00C93C2A" w14:paraId="2C92F68F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C7EE9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RETRIBUCIONES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8278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Personal funcionario, laboral y estatutario</w:t>
            </w:r>
          </w:p>
        </w:tc>
      </w:tr>
      <w:tr w:rsidR="00C93C2A" w:rsidRPr="00C93C2A" w14:paraId="246242D0" w14:textId="77777777" w:rsidTr="00C93C2A">
        <w:trPr>
          <w:trHeight w:val="10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91EF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04A54" w14:textId="77777777" w:rsidR="00C93C2A" w:rsidRPr="00C93C2A" w:rsidRDefault="00C93C2A" w:rsidP="00C93C2A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Información general de las retribuciones del personal funcionario, estatutario y laboral, articulada en función de los niveles y cargos existentes; y, en el caso de las entidades del sector público local, diferenciando las básicas de las complementarias.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03D73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Existen en el detallado de </w:t>
            </w:r>
            <w:hyperlink r:id="rId5" w:tgtFrame="_blank" w:history="1">
              <w:r w:rsidRPr="00C93C2A">
                <w:rPr>
                  <w:rFonts w:ascii="Open Sans" w:eastAsia="Times New Roman" w:hAnsi="Open Sans" w:cs="Open Sans"/>
                  <w:color w:val="3F8FCF"/>
                  <w:sz w:val="21"/>
                  <w:szCs w:val="21"/>
                  <w:u w:val="single"/>
                  <w:lang w:eastAsia="es-ES_tradnl"/>
                </w:rPr>
                <w:t>Presupuestos de Gastos</w:t>
              </w:r>
            </w:hyperlink>
          </w:p>
        </w:tc>
      </w:tr>
      <w:tr w:rsidR="00C93C2A" w:rsidRPr="00C93C2A" w14:paraId="41AA1C5B" w14:textId="77777777" w:rsidTr="00C93C2A">
        <w:trPr>
          <w:trHeight w:val="7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9FDD3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86CE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 xml:space="preserve">Aportaciones a planes de pensiones o seguros colectivos y cualquier retribución </w:t>
            </w:r>
            <w:proofErr w:type="gramStart"/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extra salarial</w:t>
            </w:r>
            <w:proofErr w:type="gramEnd"/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, articulada en función de los niveles y cargos existentes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F700B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Existen en el detallado de </w:t>
            </w:r>
            <w:hyperlink r:id="rId6" w:tgtFrame="_blank" w:history="1">
              <w:r w:rsidRPr="00C93C2A">
                <w:rPr>
                  <w:rFonts w:ascii="Open Sans" w:eastAsia="Times New Roman" w:hAnsi="Open Sans" w:cs="Open Sans"/>
                  <w:color w:val="3F8FCF"/>
                  <w:sz w:val="21"/>
                  <w:szCs w:val="21"/>
                  <w:u w:val="single"/>
                  <w:lang w:eastAsia="es-ES_tradnl"/>
                </w:rPr>
                <w:t>Presupuestos de Gastos</w:t>
              </w:r>
            </w:hyperlink>
          </w:p>
        </w:tc>
      </w:tr>
      <w:tr w:rsidR="00C93C2A" w:rsidRPr="00C93C2A" w14:paraId="2FBFE610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980A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lastRenderedPageBreak/>
              <w:t>RETRIBUCIONES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B8E53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Información general sobre las condiciones para el devengo y cuantías de las indemnizaciones por razón del servicio</w:t>
            </w:r>
          </w:p>
        </w:tc>
      </w:tr>
      <w:tr w:rsidR="00C93C2A" w:rsidRPr="00C93C2A" w14:paraId="36C343C5" w14:textId="77777777" w:rsidTr="00C93C2A">
        <w:trPr>
          <w:trHeight w:val="102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BA78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37272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Viajes, manutención, alojamiento y asistencia a órganos colegiados o sociales.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A6C23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Reguladas en la </w:t>
            </w:r>
            <w:hyperlink r:id="rId7" w:tgtFrame="_blank" w:history="1">
              <w:r w:rsidRPr="00C93C2A">
                <w:rPr>
                  <w:rFonts w:ascii="Open Sans" w:eastAsia="Times New Roman" w:hAnsi="Open Sans" w:cs="Open Sans"/>
                  <w:i/>
                  <w:iCs/>
                  <w:color w:val="3F8FCF"/>
                  <w:sz w:val="21"/>
                  <w:szCs w:val="21"/>
                  <w:lang w:eastAsia="es-ES_tradnl"/>
                </w:rPr>
                <w:t>Base 17 (viajes) y 18 (asistencia Órganos Colegiados)</w:t>
              </w:r>
            </w:hyperlink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 de la Ejecución de Presupuestos</w:t>
            </w:r>
          </w:p>
        </w:tc>
      </w:tr>
      <w:tr w:rsidR="00C93C2A" w:rsidRPr="00C93C2A" w14:paraId="48D7E5D8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BBA39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ECON.-FINAN.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41EDB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Ingresos y Gastos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0A507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 </w:t>
            </w:r>
          </w:p>
        </w:tc>
      </w:tr>
      <w:tr w:rsidR="00C93C2A" w:rsidRPr="00C93C2A" w14:paraId="3CB5F1EC" w14:textId="77777777" w:rsidTr="00C93C2A">
        <w:trPr>
          <w:trHeight w:val="7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96351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D7B8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Gastos de personal y su porcentaje sobre el gasto 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777A5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5.675.000,00€</w:t>
            </w: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br/>
              <w:t>(59,11% del total)</w:t>
            </w:r>
          </w:p>
        </w:tc>
      </w:tr>
      <w:tr w:rsidR="00C93C2A" w:rsidRPr="00C93C2A" w14:paraId="789F281C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C3AD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8EA0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Gasto efectuado en concepto de arrendamiento de bienes inmuebles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D749A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570.000,00 €</w:t>
            </w:r>
          </w:p>
        </w:tc>
      </w:tr>
      <w:tr w:rsidR="00C93C2A" w:rsidRPr="00C93C2A" w14:paraId="473466C2" w14:textId="77777777" w:rsidTr="00C93C2A">
        <w:trPr>
          <w:trHeight w:val="78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B728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92C1D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Gasto efectuado en concepto de patrocinio y campañas de publicidad institucional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DF8F3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26.400,00€</w:t>
            </w: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br/>
              <w:t>(0,275% del total)</w:t>
            </w:r>
          </w:p>
        </w:tc>
      </w:tr>
      <w:tr w:rsidR="00C93C2A" w:rsidRPr="00C93C2A" w14:paraId="631B0B96" w14:textId="77777777" w:rsidTr="00C93C2A">
        <w:trPr>
          <w:trHeight w:val="7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6EA35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1110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C2E7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Gasto total efectuado en concepto de ayudas y subvenciones para actividades económicas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8F4FB" w14:textId="77777777" w:rsidR="00C93C2A" w:rsidRPr="00C93C2A" w:rsidRDefault="00C93C2A" w:rsidP="00C93C2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Ayuda Discapacidad</w:t>
            </w: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br/>
              <w:t>2.430,00€</w:t>
            </w:r>
          </w:p>
        </w:tc>
      </w:tr>
      <w:tr w:rsidR="00C93C2A" w:rsidRPr="00C93C2A" w14:paraId="0FA77A96" w14:textId="77777777" w:rsidTr="00C93C2A">
        <w:trPr>
          <w:trHeight w:val="5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8617F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0FD1C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E8F2" w14:textId="77777777" w:rsidR="00C93C2A" w:rsidRPr="00C93C2A" w:rsidRDefault="00C93C2A" w:rsidP="00C93C2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</w:pPr>
            <w:r w:rsidRPr="00C93C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es-ES_tradnl"/>
              </w:rPr>
              <w:t> </w:t>
            </w:r>
          </w:p>
        </w:tc>
      </w:tr>
    </w:tbl>
    <w:p w14:paraId="736CB014" w14:textId="77777777" w:rsidR="00C93C2A" w:rsidRDefault="00C93C2A"/>
    <w:sectPr w:rsidR="00C93C2A" w:rsidSect="00C93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2A"/>
    <w:rsid w:val="00C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8A7"/>
  <w15:chartTrackingRefBased/>
  <w15:docId w15:val="{ABF0422C-EC02-48D6-99D4-B74EAA01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3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3C2A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C93C2A"/>
    <w:rPr>
      <w:b/>
      <w:bCs/>
    </w:rPr>
  </w:style>
  <w:style w:type="character" w:styleId="nfasis">
    <w:name w:val="Emphasis"/>
    <w:basedOn w:val="Fuentedeprrafopredeter"/>
    <w:uiPriority w:val="20"/>
    <w:qFormat/>
    <w:rsid w:val="00C93C2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93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banismosantacruz.es/sites/default/files/Transparencia/Econ%C3%B3mica/PRESUPUESTOS/Base%2017-18%20Reg_Presu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banismosantacruz.es/sites/default/files/Transparencia/Econ%C3%B3mica/PRESUPUESTOS/2020/PRESUPUESTOS/8_GASTOS_ECONOMICA_DETALLADO_GMU.pdf" TargetMode="External"/><Relationship Id="rId5" Type="http://schemas.openxmlformats.org/officeDocument/2006/relationships/hyperlink" Target="https://www.urbanismosantacruz.es/sites/default/files/Transparencia/Econ%C3%B3mica/PRESUPUESTOS/2020/PRESUPUESTOS/8_GASTOS_ECONOMICA_DETALLADO_GMU.pdf" TargetMode="External"/><Relationship Id="rId4" Type="http://schemas.openxmlformats.org/officeDocument/2006/relationships/hyperlink" Target="https://www.urbanismosantacruz.es/sites/default/files/Transparencia/Econ%C3%B3mica/PRESUPUESTOS/Base%2017-18%20Reg_Presu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2022-06-01T13:11:00Z</dcterms:created>
  <dcterms:modified xsi:type="dcterms:W3CDTF">2022-06-01T13:13:00Z</dcterms:modified>
</cp:coreProperties>
</file>